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1758">
      <w:pPr>
        <w:rPr>
          <w:rFonts w:hint="default" w:ascii="方正仿宋_GB2312" w:hAnsi="方正仿宋_GB2312" w:eastAsia="方正仿宋_GB2312" w:cs="方正仿宋_GB2312"/>
          <w:b w:val="0"/>
          <w:bCs w:val="0"/>
          <w:color w:val="auto"/>
          <w:sz w:val="32"/>
          <w:szCs w:val="32"/>
          <w:highlight w:val="none"/>
          <w:lang w:val="en-US" w:eastAsia="zh-CN"/>
        </w:rPr>
      </w:pPr>
      <w:bookmarkStart w:id="0" w:name="_Toc23663"/>
      <w:bookmarkStart w:id="1" w:name="_Toc16098"/>
      <w:bookmarkStart w:id="2" w:name="_Toc12242"/>
      <w:bookmarkStart w:id="3" w:name="_Toc9903"/>
      <w:bookmarkStart w:id="4" w:name="_Toc23535"/>
      <w:bookmarkStart w:id="5" w:name="_Toc17499"/>
      <w:bookmarkStart w:id="6" w:name="_Toc4830"/>
      <w:bookmarkStart w:id="7" w:name="_Toc663"/>
      <w:r>
        <w:rPr>
          <w:rFonts w:hint="eastAsia" w:ascii="方正仿宋_GB2312" w:hAnsi="方正仿宋_GB2312" w:eastAsia="方正仿宋_GB2312" w:cs="方正仿宋_GB2312"/>
          <w:b w:val="0"/>
          <w:bCs w:val="0"/>
          <w:color w:val="auto"/>
          <w:sz w:val="32"/>
          <w:szCs w:val="32"/>
          <w:highlight w:val="none"/>
          <w:lang w:val="en-US" w:eastAsia="zh-CN"/>
        </w:rPr>
        <w:t>项目编号：TCSY20260301</w:t>
      </w:r>
    </w:p>
    <w:p w14:paraId="63C34150">
      <w:pPr>
        <w:pStyle w:val="2"/>
        <w:rPr>
          <w:rFonts w:hint="eastAsia"/>
          <w:color w:val="auto"/>
          <w:highlight w:val="none"/>
          <w:lang w:val="en-US" w:eastAsia="zh-CN"/>
        </w:rPr>
      </w:pPr>
    </w:p>
    <w:p w14:paraId="41DBCC2C">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四川省铁产石油化工有限责任公司</w:t>
      </w:r>
    </w:p>
    <w:p w14:paraId="702EDA3F">
      <w:pPr>
        <w:jc w:val="center"/>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专项法律服务机构</w:t>
      </w:r>
    </w:p>
    <w:p w14:paraId="1ECADA0F">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0C216AEB">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4BA6DA05">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p>
    <w:p w14:paraId="0E574342">
      <w:pPr>
        <w:tabs>
          <w:tab w:val="left" w:pos="6972"/>
        </w:tabs>
        <w:jc w:val="left"/>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ab/>
      </w:r>
    </w:p>
    <w:p w14:paraId="5621BBBA">
      <w:pPr>
        <w:jc w:val="center"/>
        <w:rPr>
          <w:rFonts w:hint="default"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竞争性谈判文件</w:t>
      </w:r>
    </w:p>
    <w:p w14:paraId="68401D12">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p>
    <w:p w14:paraId="1E4F2135">
      <w:pPr>
        <w:jc w:val="center"/>
        <w:rPr>
          <w:rFonts w:hint="eastAsia" w:ascii="方正仿宋_GB2312" w:hAnsi="方正仿宋_GB2312" w:eastAsia="方正仿宋_GB2312" w:cs="方正仿宋_GB2312"/>
          <w:b/>
          <w:bCs/>
          <w:color w:val="auto"/>
          <w:sz w:val="32"/>
          <w:szCs w:val="32"/>
          <w:highlight w:val="none"/>
          <w:lang w:val="en-US" w:eastAsia="zh-CN"/>
        </w:rPr>
      </w:pPr>
    </w:p>
    <w:p w14:paraId="404D531A">
      <w:pPr>
        <w:jc w:val="center"/>
        <w:rPr>
          <w:rFonts w:hint="eastAsia" w:ascii="方正仿宋_GB2312" w:hAnsi="方正仿宋_GB2312" w:eastAsia="方正仿宋_GB2312" w:cs="方正仿宋_GB2312"/>
          <w:b/>
          <w:bCs/>
          <w:color w:val="auto"/>
          <w:sz w:val="32"/>
          <w:szCs w:val="32"/>
          <w:highlight w:val="none"/>
          <w:lang w:val="en-US" w:eastAsia="zh-CN"/>
        </w:rPr>
      </w:pPr>
    </w:p>
    <w:p w14:paraId="7A35E059">
      <w:pPr>
        <w:jc w:val="both"/>
        <w:rPr>
          <w:rFonts w:hint="eastAsia" w:ascii="方正仿宋_GB2312" w:hAnsi="方正仿宋_GB2312" w:eastAsia="方正仿宋_GB2312" w:cs="方正仿宋_GB2312"/>
          <w:b/>
          <w:bCs/>
          <w:color w:val="auto"/>
          <w:sz w:val="32"/>
          <w:szCs w:val="32"/>
          <w:highlight w:val="none"/>
          <w:lang w:val="en-US" w:eastAsia="zh-CN"/>
        </w:rPr>
      </w:pPr>
    </w:p>
    <w:p w14:paraId="56F2BFD0">
      <w:pPr>
        <w:jc w:val="center"/>
        <w:rPr>
          <w:rFonts w:hint="default"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比选人：四川省铁产石油化工有限责任公司</w:t>
      </w:r>
    </w:p>
    <w:p w14:paraId="71AE76B2">
      <w:pPr>
        <w:jc w:val="center"/>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二0二六年四月</w:t>
      </w:r>
    </w:p>
    <w:p w14:paraId="621AD712">
      <w:pPr>
        <w:jc w:val="center"/>
        <w:rPr>
          <w:rFonts w:hint="eastAsia" w:ascii="仿宋" w:hAnsi="仿宋" w:eastAsia="仿宋" w:cs="仿宋"/>
          <w:b/>
          <w:bCs/>
          <w:color w:val="auto"/>
          <w:sz w:val="36"/>
          <w:szCs w:val="36"/>
          <w:highlight w:val="none"/>
        </w:rPr>
        <w:sectPr>
          <w:footerReference r:id="rId3" w:type="default"/>
          <w:pgSz w:w="11906" w:h="16838"/>
          <w:pgMar w:top="1134" w:right="1134" w:bottom="1134" w:left="1418" w:header="851" w:footer="992" w:gutter="0"/>
          <w:pgNumType w:fmt="numberInDash"/>
          <w:cols w:space="720" w:num="1"/>
          <w:docGrid w:type="lines" w:linePitch="312" w:charSpace="0"/>
        </w:sectPr>
      </w:pPr>
    </w:p>
    <w:p w14:paraId="55E2DA83">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15150002">
      <w:pPr>
        <w:rPr>
          <w:rFonts w:ascii="仿宋" w:hAnsi="仿宋" w:eastAsia="仿宋" w:cs="仿宋"/>
          <w:b/>
          <w:bCs/>
          <w:color w:val="auto"/>
          <w:sz w:val="32"/>
          <w:szCs w:val="32"/>
          <w:highlight w:val="none"/>
        </w:rPr>
      </w:pPr>
    </w:p>
    <w:p w14:paraId="365A4C85">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"_Toc2468"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第一章 竞争性谈判公告</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p>
    <w:p w14:paraId="37D2550E">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"_Toc8513"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第二章 竞争性谈判申请人须知</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4</w:t>
      </w:r>
      <w:r>
        <w:rPr>
          <w:rFonts w:hint="eastAsia" w:ascii="仿宋" w:hAnsi="仿宋" w:eastAsia="仿宋" w:cs="仿宋"/>
          <w:b/>
          <w:bCs/>
          <w:color w:val="auto"/>
          <w:sz w:val="32"/>
          <w:szCs w:val="32"/>
          <w:highlight w:val="none"/>
          <w:lang w:val="en-US" w:eastAsia="zh-CN" w:bidi="ar-SA"/>
        </w:rPr>
        <w:fldChar w:fldCharType="end"/>
      </w:r>
    </w:p>
    <w:p w14:paraId="4465951D">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"_Toc19085"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第三章 竞争性谈判申请人的资格要求证明材料</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0</w:t>
      </w:r>
    </w:p>
    <w:p w14:paraId="5046DDD7">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"_Toc302"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第四章 竞争性谈判申请书格式</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1</w:t>
      </w:r>
    </w:p>
    <w:p w14:paraId="09823CEE">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"_Toc31984"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第五章 项目需求及服务、团队等相关要求</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2</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9</w:t>
      </w:r>
    </w:p>
    <w:p w14:paraId="06D62F28">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"_Toc17709"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第六章 评审方法</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31</w:t>
      </w:r>
    </w:p>
    <w:p w14:paraId="7950402D">
      <w:pPr>
        <w:jc w:val="center"/>
        <w:rPr>
          <w:rFonts w:ascii="仿宋_GB2312" w:hAnsi="仿宋_GB2312" w:eastAsia="仿宋_GB2312" w:cs="仿宋_GB2312"/>
          <w:b/>
          <w:bCs/>
          <w:color w:val="auto"/>
          <w:sz w:val="36"/>
          <w:szCs w:val="36"/>
          <w:highlight w:val="none"/>
        </w:rPr>
      </w:pPr>
    </w:p>
    <w:p w14:paraId="73E1CB79">
      <w:pPr>
        <w:rPr>
          <w:rFonts w:ascii="仿宋_GB2312" w:hAnsi="仿宋_GB2312" w:eastAsia="仿宋_GB2312" w:cs="仿宋_GB2312"/>
          <w:b/>
          <w:bCs/>
          <w:color w:val="auto"/>
          <w:sz w:val="32"/>
          <w:szCs w:val="32"/>
          <w:highlight w:val="none"/>
        </w:rPr>
      </w:pPr>
    </w:p>
    <w:p w14:paraId="29F4B862">
      <w:pPr>
        <w:keepNext/>
        <w:keepLines/>
        <w:widowControl w:val="0"/>
        <w:spacing w:before="340" w:after="330" w:line="460" w:lineRule="exact"/>
        <w:jc w:val="center"/>
        <w:outlineLvl w:val="0"/>
        <w:rPr>
          <w:rFonts w:ascii="仿宋_GB2312" w:hAnsi="仿宋_GB2312" w:eastAsia="仿宋_GB2312" w:cs="仿宋_GB2312"/>
          <w:b/>
          <w:bCs/>
          <w:color w:val="auto"/>
          <w:kern w:val="44"/>
          <w:sz w:val="24"/>
          <w:szCs w:val="24"/>
          <w:highlight w:val="none"/>
          <w:lang w:val="en-US" w:eastAsia="zh-CN" w:bidi="ar-SA"/>
        </w:rPr>
      </w:pPr>
    </w:p>
    <w:p w14:paraId="036230FE">
      <w:pPr>
        <w:spacing w:line="460" w:lineRule="exact"/>
        <w:rPr>
          <w:rFonts w:ascii="仿宋_GB2312" w:hAnsi="仿宋_GB2312" w:eastAsia="仿宋_GB2312" w:cs="仿宋_GB2312"/>
          <w:color w:val="auto"/>
          <w:sz w:val="24"/>
          <w:highlight w:val="none"/>
        </w:rPr>
      </w:pPr>
    </w:p>
    <w:p w14:paraId="13C93B9A">
      <w:pPr>
        <w:spacing w:line="460" w:lineRule="exact"/>
        <w:rPr>
          <w:rFonts w:ascii="仿宋_GB2312" w:hAnsi="仿宋_GB2312" w:eastAsia="仿宋_GB2312" w:cs="仿宋_GB2312"/>
          <w:color w:val="auto"/>
          <w:sz w:val="24"/>
          <w:highlight w:val="none"/>
        </w:rPr>
      </w:pPr>
    </w:p>
    <w:p w14:paraId="2997537D">
      <w:pPr>
        <w:spacing w:line="460" w:lineRule="exact"/>
        <w:rPr>
          <w:rFonts w:ascii="仿宋_GB2312" w:hAnsi="仿宋_GB2312" w:eastAsia="仿宋_GB2312" w:cs="仿宋_GB2312"/>
          <w:color w:val="auto"/>
          <w:sz w:val="24"/>
          <w:highlight w:val="none"/>
        </w:rPr>
      </w:pPr>
    </w:p>
    <w:p w14:paraId="6D305770">
      <w:pPr>
        <w:keepNext/>
        <w:keepLines/>
        <w:widowControl w:val="0"/>
        <w:spacing w:before="340" w:after="330" w:line="460" w:lineRule="exact"/>
        <w:jc w:val="both"/>
        <w:outlineLvl w:val="0"/>
        <w:rPr>
          <w:rFonts w:ascii="仿宋_GB2312" w:hAnsi="仿宋_GB2312" w:eastAsia="仿宋_GB2312" w:cs="仿宋_GB2312"/>
          <w:b/>
          <w:bCs/>
          <w:color w:val="auto"/>
          <w:kern w:val="44"/>
          <w:sz w:val="24"/>
          <w:szCs w:val="24"/>
          <w:highlight w:val="none"/>
          <w:lang w:val="en-US" w:eastAsia="zh-CN" w:bidi="ar-SA"/>
        </w:rPr>
      </w:pPr>
    </w:p>
    <w:p w14:paraId="237581C7">
      <w:pPr>
        <w:spacing w:line="460" w:lineRule="exact"/>
        <w:rPr>
          <w:rFonts w:ascii="仿宋_GB2312" w:hAnsi="仿宋_GB2312" w:eastAsia="仿宋_GB2312" w:cs="仿宋_GB2312"/>
          <w:color w:val="auto"/>
          <w:sz w:val="24"/>
          <w:highlight w:val="none"/>
        </w:rPr>
      </w:pPr>
    </w:p>
    <w:p w14:paraId="0B43AFD9">
      <w:pPr>
        <w:spacing w:line="460" w:lineRule="exact"/>
        <w:rPr>
          <w:rFonts w:ascii="仿宋_GB2312" w:hAnsi="仿宋_GB2312" w:eastAsia="仿宋_GB2312" w:cs="仿宋_GB2312"/>
          <w:color w:val="auto"/>
          <w:sz w:val="24"/>
          <w:highlight w:val="none"/>
        </w:rPr>
        <w:sectPr>
          <w:footerReference r:id="rId4" w:type="default"/>
          <w:pgSz w:w="11906" w:h="16838"/>
          <w:pgMar w:top="1134" w:right="1134" w:bottom="1134" w:left="1418" w:header="851" w:footer="992" w:gutter="0"/>
          <w:pgNumType w:fmt="numberInDash" w:start="1"/>
          <w:cols w:space="720" w:num="1"/>
          <w:docGrid w:type="lines" w:linePitch="312" w:charSpace="0"/>
        </w:sectPr>
      </w:pPr>
    </w:p>
    <w:bookmarkEnd w:id="0"/>
    <w:bookmarkEnd w:id="1"/>
    <w:bookmarkEnd w:id="2"/>
    <w:bookmarkEnd w:id="3"/>
    <w:bookmarkEnd w:id="4"/>
    <w:bookmarkEnd w:id="5"/>
    <w:bookmarkEnd w:id="6"/>
    <w:bookmarkEnd w:id="7"/>
    <w:p w14:paraId="123B08C7">
      <w:pPr>
        <w:keepNext/>
        <w:keepLines/>
        <w:widowControl w:val="0"/>
        <w:numPr>
          <w:ilvl w:val="0"/>
          <w:numId w:val="1"/>
        </w:numPr>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r>
        <w:rPr>
          <w:rFonts w:hint="eastAsia" w:ascii="仿宋_GB2312" w:hAnsi="仿宋_GB2312" w:eastAsia="仿宋_GB2312" w:cs="仿宋_GB2312"/>
          <w:b/>
          <w:bCs/>
          <w:color w:val="auto"/>
          <w:kern w:val="44"/>
          <w:sz w:val="32"/>
          <w:szCs w:val="32"/>
          <w:highlight w:val="none"/>
          <w:lang w:val="en-US" w:eastAsia="zh-CN" w:bidi="ar-SA"/>
        </w:rPr>
        <w:t>竞争性谈判公告</w:t>
      </w:r>
    </w:p>
    <w:p w14:paraId="6CBCDC6C">
      <w:pPr>
        <w:keepNext w:val="0"/>
        <w:keepLines w:val="0"/>
        <w:pageBreakBefore w:val="0"/>
        <w:widowControl w:val="0"/>
        <w:kinsoku/>
        <w:overflowPunct/>
        <w:topLinePunct w:val="0"/>
        <w:autoSpaceDE/>
        <w:autoSpaceDN/>
        <w:bidi w:val="0"/>
        <w:adjustRightInd/>
        <w:snapToGrid/>
        <w:spacing w:after="156" w:afterLines="50" w:line="560" w:lineRule="exact"/>
        <w:ind w:firstLine="482" w:firstLineChars="200"/>
        <w:jc w:val="lef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四川省铁产石油化工有限责任公司（以下简称：“邀请人”“铁产石油公司”或“公司”）</w:t>
      </w:r>
      <w:r>
        <w:rPr>
          <w:rFonts w:hint="eastAsia" w:ascii="仿宋_GB2312" w:hAnsi="仿宋_GB2312" w:eastAsia="仿宋_GB2312" w:cs="仿宋_GB2312"/>
          <w:b w:val="0"/>
          <w:bCs w:val="0"/>
          <w:color w:val="auto"/>
          <w:kern w:val="2"/>
          <w:sz w:val="24"/>
          <w:szCs w:val="24"/>
          <w:highlight w:val="none"/>
          <w:lang w:val="en-US" w:eastAsia="zh-CN" w:bidi="ar-SA"/>
        </w:rPr>
        <w:t>采用竞争性谈判方式对</w:t>
      </w:r>
      <w:r>
        <w:rPr>
          <w:rFonts w:hint="eastAsia" w:ascii="仿宋_GB2312" w:hAnsi="仿宋_GB2312" w:eastAsia="仿宋_GB2312" w:cs="仿宋_GB2312"/>
          <w:color w:val="auto"/>
          <w:kern w:val="2"/>
          <w:sz w:val="24"/>
          <w:szCs w:val="24"/>
          <w:highlight w:val="none"/>
          <w:lang w:val="en-US" w:eastAsia="zh-CN" w:bidi="ar-SA"/>
        </w:rPr>
        <w:t>某</w:t>
      </w:r>
      <w:r>
        <w:rPr>
          <w:rFonts w:hint="eastAsia" w:ascii="仿宋_GB2312" w:hAnsi="仿宋_GB2312" w:eastAsia="仿宋_GB2312" w:cs="仿宋_GB2312"/>
          <w:color w:val="auto"/>
          <w:sz w:val="24"/>
          <w:highlight w:val="none"/>
          <w:lang w:val="en-US" w:eastAsia="zh-CN"/>
        </w:rPr>
        <w:t>公司欠款案件选取专项法律服务机构</w:t>
      </w:r>
      <w:r>
        <w:rPr>
          <w:rFonts w:hint="eastAsia" w:ascii="仿宋_GB2312" w:hAnsi="仿宋_GB2312" w:eastAsia="仿宋_GB2312" w:cs="仿宋_GB2312"/>
          <w:color w:val="auto"/>
          <w:kern w:val="2"/>
          <w:sz w:val="24"/>
          <w:szCs w:val="24"/>
          <w:highlight w:val="none"/>
          <w:lang w:val="en-US" w:eastAsia="zh-CN" w:bidi="ar-SA"/>
        </w:rPr>
        <w:t xml:space="preserve">。根据四川省国资委相关规定、蜀道物流集团有限公司《招标采购管理办法》等有关规定，现将竞争性谈判有关事项公告如下： </w:t>
      </w:r>
    </w:p>
    <w:p w14:paraId="14D646E6">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8" w:name="_Toc13534"/>
      <w:bookmarkStart w:id="9" w:name="_Toc26286"/>
      <w:bookmarkStart w:id="10" w:name="_Toc22141"/>
      <w:r>
        <w:rPr>
          <w:rFonts w:hint="eastAsia" w:ascii="仿宋_GB2312" w:hAnsi="仿宋_GB2312" w:eastAsia="仿宋_GB2312" w:cs="仿宋_GB2312"/>
          <w:b/>
          <w:bCs/>
          <w:color w:val="auto"/>
          <w:kern w:val="2"/>
          <w:sz w:val="24"/>
          <w:szCs w:val="24"/>
          <w:highlight w:val="none"/>
          <w:lang w:val="en-US" w:eastAsia="zh-CN" w:bidi="ar-SA"/>
        </w:rPr>
        <w:t>一、</w:t>
      </w:r>
      <w:r>
        <w:rPr>
          <w:rFonts w:hint="eastAsia" w:ascii="仿宋_GB2312" w:hAnsi="仿宋_GB2312" w:eastAsia="仿宋_GB2312" w:cs="仿宋_GB2312"/>
          <w:b/>
          <w:bCs/>
          <w:color w:val="auto"/>
          <w:sz w:val="24"/>
          <w:highlight w:val="none"/>
        </w:rPr>
        <w:t>项目名称：</w:t>
      </w:r>
      <w:bookmarkEnd w:id="8"/>
      <w:bookmarkEnd w:id="9"/>
      <w:bookmarkEnd w:id="10"/>
    </w:p>
    <w:p w14:paraId="60D56BE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四川省铁产石油化工有限责任公司关于选聘</w:t>
      </w:r>
      <w:r>
        <w:rPr>
          <w:rFonts w:hint="eastAsia" w:ascii="仿宋_GB2312" w:hAnsi="仿宋_GB2312" w:eastAsia="仿宋_GB2312" w:cs="仿宋_GB2312"/>
          <w:color w:val="auto"/>
          <w:kern w:val="2"/>
          <w:sz w:val="24"/>
          <w:szCs w:val="24"/>
          <w:highlight w:val="none"/>
          <w:lang w:val="en-US" w:eastAsia="zh-CN" w:bidi="ar-SA"/>
        </w:rPr>
        <w:t>某</w:t>
      </w:r>
      <w:r>
        <w:rPr>
          <w:rFonts w:hint="eastAsia" w:ascii="仿宋_GB2312" w:hAnsi="仿宋_GB2312" w:eastAsia="仿宋_GB2312" w:cs="仿宋_GB2312"/>
          <w:color w:val="auto"/>
          <w:sz w:val="24"/>
          <w:highlight w:val="none"/>
          <w:lang w:val="en-US" w:eastAsia="zh-CN"/>
        </w:rPr>
        <w:t>公司欠款案件专项法律服务机构</w:t>
      </w:r>
      <w:r>
        <w:rPr>
          <w:rFonts w:hint="eastAsia" w:ascii="仿宋_GB2312" w:hAnsi="仿宋_GB2312" w:eastAsia="仿宋_GB2312" w:cs="仿宋_GB2312"/>
          <w:color w:val="auto"/>
          <w:sz w:val="24"/>
          <w:highlight w:val="none"/>
        </w:rPr>
        <w:t>。</w:t>
      </w:r>
    </w:p>
    <w:p w14:paraId="6EB61215">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color w:val="auto"/>
          <w:sz w:val="24"/>
          <w:highlight w:val="none"/>
        </w:rPr>
      </w:pPr>
      <w:bookmarkStart w:id="11" w:name="_Toc22566"/>
      <w:bookmarkStart w:id="12" w:name="_Toc25535"/>
      <w:bookmarkStart w:id="13" w:name="_Toc31392"/>
      <w:r>
        <w:rPr>
          <w:rFonts w:hint="eastAsia" w:ascii="仿宋_GB2312" w:hAnsi="仿宋_GB2312" w:eastAsia="仿宋_GB2312" w:cs="仿宋_GB2312"/>
          <w:b/>
          <w:color w:val="auto"/>
          <w:kern w:val="2"/>
          <w:sz w:val="24"/>
          <w:szCs w:val="24"/>
          <w:highlight w:val="none"/>
          <w:lang w:val="en-US" w:eastAsia="zh-CN" w:bidi="ar-SA"/>
        </w:rPr>
        <w:t>二、</w:t>
      </w:r>
      <w:r>
        <w:rPr>
          <w:rFonts w:hint="eastAsia" w:ascii="仿宋_GB2312" w:hAnsi="仿宋_GB2312" w:eastAsia="仿宋_GB2312" w:cs="仿宋_GB2312"/>
          <w:b/>
          <w:color w:val="auto"/>
          <w:sz w:val="24"/>
          <w:highlight w:val="none"/>
        </w:rPr>
        <w:t>资金来源：</w:t>
      </w:r>
      <w:bookmarkEnd w:id="11"/>
      <w:bookmarkEnd w:id="12"/>
      <w:bookmarkEnd w:id="13"/>
    </w:p>
    <w:p w14:paraId="209C62E2">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自筹资金。</w:t>
      </w:r>
    </w:p>
    <w:p w14:paraId="04C7FAC4">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14" w:name="_Toc30655"/>
      <w:bookmarkStart w:id="15" w:name="_Toc6088"/>
      <w:bookmarkStart w:id="16" w:name="_Toc4797"/>
      <w:r>
        <w:rPr>
          <w:rFonts w:hint="eastAsia" w:ascii="仿宋_GB2312" w:hAnsi="仿宋_GB2312" w:eastAsia="仿宋_GB2312" w:cs="仿宋_GB2312"/>
          <w:b/>
          <w:bCs/>
          <w:color w:val="auto"/>
          <w:sz w:val="24"/>
          <w:highlight w:val="none"/>
        </w:rPr>
        <w:t>三、比选项目简介：</w:t>
      </w:r>
      <w:bookmarkEnd w:id="14"/>
      <w:bookmarkEnd w:id="15"/>
      <w:bookmarkEnd w:id="16"/>
    </w:p>
    <w:tbl>
      <w:tblPr>
        <w:tblStyle w:val="7"/>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6"/>
        <w:gridCol w:w="2610"/>
        <w:gridCol w:w="2610"/>
      </w:tblGrid>
      <w:tr w14:paraId="421C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6" w:type="dxa"/>
            <w:vAlign w:val="center"/>
          </w:tcPr>
          <w:p w14:paraId="3D25B48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2610" w:type="dxa"/>
            <w:vAlign w:val="center"/>
          </w:tcPr>
          <w:p w14:paraId="77514ED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tc>
        <w:tc>
          <w:tcPr>
            <w:tcW w:w="2610" w:type="dxa"/>
            <w:vAlign w:val="center"/>
          </w:tcPr>
          <w:p w14:paraId="29B46F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项目编号</w:t>
            </w:r>
          </w:p>
        </w:tc>
      </w:tr>
      <w:tr w14:paraId="5C6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866" w:type="dxa"/>
            <w:vAlign w:val="center"/>
          </w:tcPr>
          <w:p w14:paraId="235DE78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四川省铁产石油化工有限责任公司关于选聘</w:t>
            </w:r>
            <w:r>
              <w:rPr>
                <w:rFonts w:hint="eastAsia" w:ascii="仿宋_GB2312" w:hAnsi="仿宋_GB2312" w:eastAsia="仿宋_GB2312" w:cs="仿宋_GB2312"/>
                <w:color w:val="auto"/>
                <w:kern w:val="2"/>
                <w:sz w:val="24"/>
                <w:szCs w:val="24"/>
                <w:highlight w:val="none"/>
                <w:lang w:val="en-US" w:eastAsia="zh-CN" w:bidi="ar-SA"/>
              </w:rPr>
              <w:t>某</w:t>
            </w:r>
            <w:r>
              <w:rPr>
                <w:rFonts w:hint="eastAsia" w:ascii="仿宋_GB2312" w:hAnsi="仿宋_GB2312" w:eastAsia="仿宋_GB2312" w:cs="仿宋_GB2312"/>
                <w:color w:val="auto"/>
                <w:sz w:val="24"/>
                <w:highlight w:val="none"/>
                <w:lang w:val="en-US" w:eastAsia="zh-CN"/>
              </w:rPr>
              <w:t>公司欠款案件专项法律服务机构</w:t>
            </w:r>
          </w:p>
        </w:tc>
        <w:tc>
          <w:tcPr>
            <w:tcW w:w="2610" w:type="dxa"/>
            <w:vAlign w:val="center"/>
          </w:tcPr>
          <w:p w14:paraId="37195F9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按照全风险模式报价。风险代理费按照收到案件本金、利息、违约金部分等比例支付，最高不超过9.2万元</w:t>
            </w:r>
          </w:p>
        </w:tc>
        <w:tc>
          <w:tcPr>
            <w:tcW w:w="2610" w:type="dxa"/>
            <w:vAlign w:val="center"/>
          </w:tcPr>
          <w:p w14:paraId="3317AFE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TCSY20260301</w:t>
            </w:r>
          </w:p>
        </w:tc>
      </w:tr>
      <w:tr w14:paraId="6C68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086" w:type="dxa"/>
            <w:gridSpan w:val="3"/>
            <w:vAlign w:val="center"/>
          </w:tcPr>
          <w:p w14:paraId="77D6772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具体内容详见本比选文件第五章。</w:t>
            </w:r>
          </w:p>
        </w:tc>
      </w:tr>
    </w:tbl>
    <w:p w14:paraId="5C42D0AC">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kern w:val="2"/>
          <w:sz w:val="24"/>
          <w:szCs w:val="24"/>
          <w:highlight w:val="none"/>
          <w:lang w:val="en-US" w:eastAsia="zh-CN" w:bidi="ar-SA"/>
        </w:rPr>
      </w:pPr>
      <w:bookmarkStart w:id="17" w:name="_Toc8827"/>
      <w:bookmarkStart w:id="18" w:name="_Toc28898"/>
      <w:bookmarkStart w:id="19" w:name="_Toc9252"/>
      <w:r>
        <w:rPr>
          <w:rFonts w:hint="eastAsia" w:ascii="仿宋_GB2312" w:hAnsi="仿宋_GB2312" w:eastAsia="仿宋_GB2312" w:cs="仿宋_GB2312"/>
          <w:b/>
          <w:bCs/>
          <w:color w:val="auto"/>
          <w:kern w:val="2"/>
          <w:sz w:val="24"/>
          <w:szCs w:val="24"/>
          <w:highlight w:val="none"/>
          <w:lang w:val="en-US" w:eastAsia="zh-CN" w:bidi="ar-SA"/>
        </w:rPr>
        <w:t>四、案件基本情况</w:t>
      </w:r>
    </w:p>
    <w:p w14:paraId="329C055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（一）涉案本金：约337万元；</w:t>
      </w:r>
    </w:p>
    <w:p w14:paraId="37951F1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（二）管辖地：四川省成都市都江堰市；</w:t>
      </w:r>
    </w:p>
    <w:p w14:paraId="0339E73A">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480" w:firstLineChars="200"/>
        <w:jc w:val="left"/>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（三）案件情况：2024年9月。邀请人人与某公司签订《柴油购销合同》，签订合同后按时足额供货，但该公司并未按照合同约定足额支付货款。</w:t>
      </w:r>
      <w:r>
        <w:rPr>
          <w:rFonts w:hint="default" w:ascii="仿宋_GB2312" w:hAnsi="仿宋_GB2312" w:eastAsia="仿宋_GB2312" w:cs="仿宋_GB2312"/>
          <w:color w:val="auto"/>
          <w:kern w:val="2"/>
          <w:sz w:val="24"/>
          <w:szCs w:val="24"/>
          <w:highlight w:val="none"/>
          <w:lang w:val="en-US" w:eastAsia="zh-CN" w:bidi="ar-SA"/>
        </w:rPr>
        <w:t>为维护公司合法权益，拟</w:t>
      </w:r>
      <w:r>
        <w:rPr>
          <w:rFonts w:hint="eastAsia" w:ascii="仿宋_GB2312" w:hAnsi="仿宋_GB2312" w:eastAsia="仿宋_GB2312" w:cs="仿宋_GB2312"/>
          <w:color w:val="auto"/>
          <w:kern w:val="2"/>
          <w:sz w:val="24"/>
          <w:szCs w:val="24"/>
          <w:highlight w:val="none"/>
          <w:lang w:val="en-US" w:eastAsia="zh-CN" w:bidi="ar-SA"/>
        </w:rPr>
        <w:t>采用竞争性谈判方式</w:t>
      </w:r>
      <w:r>
        <w:rPr>
          <w:rFonts w:hint="default" w:ascii="仿宋_GB2312" w:hAnsi="仿宋_GB2312" w:eastAsia="仿宋_GB2312" w:cs="仿宋_GB2312"/>
          <w:color w:val="auto"/>
          <w:kern w:val="2"/>
          <w:sz w:val="24"/>
          <w:szCs w:val="24"/>
          <w:highlight w:val="none"/>
          <w:lang w:val="en-US" w:eastAsia="zh-CN" w:bidi="ar-SA"/>
        </w:rPr>
        <w:t>选聘法律服务中介机构。</w:t>
      </w:r>
    </w:p>
    <w:p w14:paraId="0C197C7D">
      <w:pPr>
        <w:keepNext w:val="0"/>
        <w:keepLines w:val="0"/>
        <w:pageBreakBefore w:val="0"/>
        <w:widowControl w:val="0"/>
        <w:kinsoku/>
        <w:overflowPunct/>
        <w:topLinePunct w:val="0"/>
        <w:autoSpaceDE/>
        <w:autoSpaceDN/>
        <w:bidi w:val="0"/>
        <w:adjustRightInd/>
        <w:snapToGrid/>
        <w:spacing w:line="560" w:lineRule="exact"/>
        <w:ind w:firstLine="482" w:firstLineChars="200"/>
        <w:textAlignment w:val="auto"/>
        <w:rPr>
          <w:rFonts w:hint="default" w:ascii="仿宋_GB2312" w:hAnsi="仿宋_GB2312" w:eastAsia="仿宋_GB2312" w:cs="仿宋_GB2312"/>
          <w:b/>
          <w:bCs/>
          <w:color w:val="auto"/>
          <w:kern w:val="2"/>
          <w:sz w:val="24"/>
          <w:szCs w:val="24"/>
          <w:highlight w:val="none"/>
          <w:lang w:val="en-US" w:eastAsia="zh-CN" w:bidi="ar-SA"/>
        </w:rPr>
      </w:pPr>
    </w:p>
    <w:p w14:paraId="0AE516E1">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SA"/>
        </w:rPr>
        <w:t>五、</w:t>
      </w:r>
      <w:r>
        <w:rPr>
          <w:rFonts w:hint="eastAsia" w:ascii="仿宋_GB2312" w:hAnsi="仿宋_GB2312" w:eastAsia="仿宋_GB2312" w:cs="仿宋_GB2312"/>
          <w:b/>
          <w:bCs/>
          <w:color w:val="auto"/>
          <w:sz w:val="24"/>
          <w:highlight w:val="none"/>
        </w:rPr>
        <w:t>对</w:t>
      </w:r>
      <w:r>
        <w:rPr>
          <w:rFonts w:hint="eastAsia" w:ascii="仿宋_GB2312" w:hAnsi="仿宋_GB2312" w:eastAsia="仿宋_GB2312" w:cs="仿宋_GB2312"/>
          <w:b/>
          <w:bCs/>
          <w:color w:val="auto"/>
          <w:sz w:val="24"/>
          <w:highlight w:val="none"/>
          <w:lang w:val="en-US" w:eastAsia="zh-CN"/>
        </w:rPr>
        <w:t>竞争性谈判</w:t>
      </w:r>
      <w:r>
        <w:rPr>
          <w:rFonts w:hint="eastAsia" w:ascii="仿宋_GB2312" w:hAnsi="仿宋_GB2312" w:eastAsia="仿宋_GB2312" w:cs="仿宋_GB2312"/>
          <w:b/>
          <w:bCs/>
          <w:color w:val="auto"/>
          <w:sz w:val="24"/>
          <w:highlight w:val="none"/>
        </w:rPr>
        <w:t>申请人的资格要求：</w:t>
      </w:r>
      <w:bookmarkEnd w:id="17"/>
      <w:bookmarkEnd w:id="18"/>
      <w:bookmarkEnd w:id="19"/>
    </w:p>
    <w:p w14:paraId="08F341C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资质要求：依法在中华人民共和国境内设立的律师事务所，持有合法有效律师事务所执业许可证，以及国家法律法规要求的相关从业资质（提供年检合格的律师事务所执业许可证复印件）；如分所或分支机构参加比选的，分所或分支机构须获得总所唯一授权，须提供总所的业务许可证复印件（可以一次授权或总体授权，同一个事务所的多家分支机构不可同时参加</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w:t>
      </w:r>
    </w:p>
    <w:p w14:paraId="051874F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（二）人员要求：</w:t>
      </w:r>
      <w:r>
        <w:rPr>
          <w:rFonts w:hint="eastAsia" w:ascii="仿宋_GB2312" w:hAnsi="仿宋_GB2312" w:eastAsia="仿宋_GB2312" w:cs="仿宋_GB2312"/>
          <w:color w:val="auto"/>
          <w:sz w:val="24"/>
          <w:highlight w:val="none"/>
          <w:lang w:val="en-US" w:eastAsia="zh-CN"/>
        </w:rPr>
        <w:t>能在四川省内提供本地化服务，</w:t>
      </w:r>
      <w:r>
        <w:rPr>
          <w:rFonts w:hint="eastAsia" w:ascii="仿宋_GB2312" w:hAnsi="仿宋_GB2312" w:eastAsia="仿宋_GB2312" w:cs="仿宋_GB2312"/>
          <w:color w:val="auto"/>
          <w:sz w:val="24"/>
          <w:highlight w:val="none"/>
        </w:rPr>
        <w:t>组建相对固定且不少于</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人的律师团队，律师应具有司法行政主管部门颁发的《律师执业证》，执业时间3年以上，合法有效且年检合格</w:t>
      </w:r>
      <w:r>
        <w:rPr>
          <w:rFonts w:hint="eastAsia" w:ascii="仿宋_GB2312" w:hAnsi="仿宋_GB2312" w:eastAsia="仿宋_GB2312" w:cs="仿宋_GB2312"/>
          <w:color w:val="auto"/>
          <w:sz w:val="24"/>
          <w:highlight w:val="none"/>
          <w:lang w:eastAsia="zh-CN"/>
        </w:rPr>
        <w:t>；</w:t>
      </w:r>
    </w:p>
    <w:p w14:paraId="67B240A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（三）信誉要求：信誉良好，</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申请人及其执业律师最近3年内未受到司法行政部门的</w:t>
      </w:r>
      <w:r>
        <w:rPr>
          <w:rFonts w:hint="eastAsia" w:ascii="仿宋_GB2312" w:hAnsi="仿宋_GB2312" w:eastAsia="仿宋_GB2312" w:cs="仿宋_GB2312"/>
          <w:color w:val="auto"/>
          <w:sz w:val="24"/>
          <w:highlight w:val="none"/>
          <w:lang w:eastAsia="zh-CN"/>
        </w:rPr>
        <w:t>行政处罚</w:t>
      </w:r>
      <w:r>
        <w:rPr>
          <w:rFonts w:hint="eastAsia" w:ascii="仿宋_GB2312" w:hAnsi="仿宋_GB2312" w:eastAsia="仿宋_GB2312" w:cs="仿宋_GB2312"/>
          <w:color w:val="auto"/>
          <w:sz w:val="24"/>
          <w:highlight w:val="none"/>
        </w:rPr>
        <w:t>和律师协会的行业处分，</w:t>
      </w:r>
      <w:r>
        <w:rPr>
          <w:rFonts w:hint="eastAsia" w:ascii="仿宋_GB2312" w:hAnsi="仿宋_GB2312" w:eastAsia="仿宋_GB2312" w:cs="仿宋_GB2312"/>
          <w:color w:val="auto"/>
          <w:sz w:val="24"/>
          <w:highlight w:val="none"/>
          <w:lang w:val="en-US" w:eastAsia="zh-CN"/>
        </w:rPr>
        <w:t>最近3年内</w:t>
      </w:r>
      <w:r>
        <w:rPr>
          <w:rFonts w:hint="eastAsia" w:ascii="仿宋_GB2312" w:hAnsi="仿宋_GB2312" w:eastAsia="仿宋_GB2312" w:cs="仿宋_GB2312"/>
          <w:color w:val="auto"/>
          <w:sz w:val="24"/>
          <w:highlight w:val="none"/>
        </w:rPr>
        <w:t>法律服务未因重大执业质量等问题受到省国资委的通报（提供网页查询截图）；</w:t>
      </w:r>
    </w:p>
    <w:p w14:paraId="572148C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（四）财务要求：财务状况良好，近</w:t>
      </w:r>
      <w:r>
        <w:rPr>
          <w:rFonts w:hint="eastAsia" w:ascii="仿宋_GB2312" w:hAnsi="仿宋_GB2312" w:eastAsia="仿宋_GB2312" w:cs="仿宋_GB2312"/>
          <w:color w:val="auto"/>
          <w:sz w:val="24"/>
          <w:highlight w:val="none"/>
          <w:lang w:eastAsia="zh-CN"/>
        </w:rPr>
        <w:t>3年无亏损</w:t>
      </w:r>
      <w:r>
        <w:rPr>
          <w:rFonts w:hint="eastAsia" w:ascii="仿宋_GB2312" w:hAnsi="仿宋_GB2312" w:eastAsia="仿宋_GB2312" w:cs="仿宋_GB2312"/>
          <w:color w:val="auto"/>
          <w:sz w:val="24"/>
          <w:highlight w:val="none"/>
        </w:rPr>
        <w:t>（提供</w:t>
      </w:r>
      <w:r>
        <w:rPr>
          <w:rFonts w:hint="eastAsia" w:ascii="仿宋_GB2312" w:hAnsi="仿宋_GB2312" w:eastAsia="仿宋_GB2312" w:cs="仿宋_GB2312"/>
          <w:color w:val="auto"/>
          <w:sz w:val="24"/>
          <w:highlight w:val="none"/>
          <w:lang w:val="en-US" w:eastAsia="zh-CN"/>
        </w:rPr>
        <w:t>2023年、2024年、2025</w:t>
      </w:r>
      <w:r>
        <w:rPr>
          <w:rFonts w:hint="eastAsia" w:ascii="仿宋_GB2312" w:hAnsi="仿宋_GB2312" w:eastAsia="仿宋_GB2312" w:cs="仿宋_GB2312"/>
          <w:color w:val="auto"/>
          <w:sz w:val="24"/>
          <w:highlight w:val="none"/>
        </w:rPr>
        <w:t>年度经审计后年度财务审计报告</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若成立不足3年的，请提供所有</w:t>
      </w:r>
      <w:r>
        <w:rPr>
          <w:rFonts w:hint="eastAsia" w:ascii="仿宋_GB2312" w:hAnsi="仿宋_GB2312" w:eastAsia="仿宋_GB2312" w:cs="仿宋_GB2312"/>
          <w:color w:val="auto"/>
          <w:sz w:val="24"/>
          <w:highlight w:val="none"/>
        </w:rPr>
        <w:t>经审计后年度财务审计报告）；</w:t>
      </w:r>
    </w:p>
    <w:p w14:paraId="44C69CD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（五）不得存在下列情形之一：</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日前三年内存在弄虚作假、恶意串通、营私舞弊等严重不诚信行为；</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日前两年内存在违反国家有关法律法规的行为；分别接受利益相对方委托，就同一事项提供有利益冲突的法律服务；出具虚假或重大失实的业务报告；曾违反法律服务合同约定给委托方造成重大损失；</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申请人处于被责令停业、财产被冻结、接管、破产状态；</w:t>
      </w:r>
    </w:p>
    <w:p w14:paraId="7771A12B">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）本项目不接受联合体投标</w:t>
      </w:r>
      <w:r>
        <w:rPr>
          <w:rFonts w:hint="eastAsia" w:ascii="仿宋_GB2312" w:hAnsi="仿宋_GB2312" w:eastAsia="仿宋_GB2312" w:cs="仿宋_GB2312"/>
          <w:color w:val="auto"/>
          <w:sz w:val="24"/>
          <w:highlight w:val="none"/>
          <w:lang w:eastAsia="zh-CN"/>
        </w:rPr>
        <w:t>。</w:t>
      </w:r>
    </w:p>
    <w:p w14:paraId="5CB9C6C6">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20" w:name="_Toc24559"/>
      <w:bookmarkStart w:id="21" w:name="_Toc8257"/>
      <w:bookmarkStart w:id="22" w:name="_Toc8698"/>
      <w:r>
        <w:rPr>
          <w:rFonts w:hint="eastAsia" w:ascii="仿宋_GB2312" w:hAnsi="仿宋_GB2312" w:eastAsia="仿宋_GB2312" w:cs="仿宋_GB2312"/>
          <w:b/>
          <w:bCs/>
          <w:color w:val="auto"/>
          <w:sz w:val="24"/>
          <w:highlight w:val="none"/>
          <w:lang w:val="en-US" w:eastAsia="zh-CN"/>
        </w:rPr>
        <w:t>六</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竞争性公告发布</w:t>
      </w:r>
      <w:r>
        <w:rPr>
          <w:rFonts w:hint="eastAsia" w:ascii="仿宋_GB2312" w:hAnsi="仿宋_GB2312" w:eastAsia="仿宋_GB2312" w:cs="仿宋_GB2312"/>
          <w:b/>
          <w:bCs/>
          <w:color w:val="auto"/>
          <w:sz w:val="24"/>
          <w:highlight w:val="none"/>
        </w:rPr>
        <w:t>时间及地点</w:t>
      </w:r>
      <w:bookmarkEnd w:id="20"/>
      <w:bookmarkEnd w:id="21"/>
      <w:bookmarkEnd w:id="22"/>
    </w:p>
    <w:p w14:paraId="729E62BC">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1.获取</w:t>
      </w:r>
      <w:r>
        <w:rPr>
          <w:rFonts w:hint="eastAsia" w:ascii="仿宋_GB2312" w:hAnsi="仿宋_GB2312" w:eastAsia="仿宋_GB2312" w:cs="仿宋_GB2312"/>
          <w:b w:val="0"/>
          <w:bCs w:val="0"/>
          <w:color w:val="auto"/>
          <w:sz w:val="24"/>
          <w:highlight w:val="none"/>
          <w:lang w:val="en-US" w:eastAsia="zh-CN"/>
        </w:rPr>
        <w:t>公告</w:t>
      </w:r>
      <w:r>
        <w:rPr>
          <w:rFonts w:hint="eastAsia" w:ascii="仿宋_GB2312" w:hAnsi="仿宋_GB2312" w:eastAsia="仿宋_GB2312" w:cs="仿宋_GB2312"/>
          <w:color w:val="auto"/>
          <w:sz w:val="24"/>
          <w:highlight w:val="none"/>
        </w:rPr>
        <w:t>时间：自</w:t>
      </w:r>
      <w:r>
        <w:rPr>
          <w:rFonts w:hint="eastAsia" w:ascii="仿宋_GB2312" w:hAnsi="仿宋_GB2312" w:eastAsia="仿宋_GB2312" w:cs="仿宋_GB2312"/>
          <w:color w:val="auto"/>
          <w:sz w:val="24"/>
          <w:highlight w:val="none"/>
          <w:lang w:val="en-US" w:eastAsia="zh-CN"/>
        </w:rPr>
        <w:t>2026年xx月xx日</w:t>
      </w:r>
      <w:r>
        <w:rPr>
          <w:rFonts w:hint="eastAsia" w:ascii="仿宋_GB2312" w:hAnsi="仿宋_GB2312" w:eastAsia="仿宋_GB2312" w:cs="仿宋_GB2312"/>
          <w:color w:val="auto"/>
          <w:sz w:val="24"/>
          <w:highlight w:val="none"/>
        </w:rPr>
        <w:t>至</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xx</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xx日xx前</w:t>
      </w:r>
      <w:r>
        <w:rPr>
          <w:rFonts w:hint="eastAsia" w:ascii="仿宋_GB2312" w:hAnsi="仿宋_GB2312" w:eastAsia="仿宋_GB2312" w:cs="仿宋_GB2312"/>
          <w:color w:val="auto"/>
          <w:sz w:val="24"/>
          <w:highlight w:val="none"/>
        </w:rPr>
        <w:t>。</w:t>
      </w:r>
    </w:p>
    <w:p w14:paraId="61D02ED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b w:val="0"/>
          <w:bCs w:val="0"/>
          <w:color w:val="auto"/>
          <w:sz w:val="24"/>
          <w:highlight w:val="none"/>
          <w:lang w:val="en-US" w:eastAsia="zh-CN"/>
        </w:rPr>
        <w:t>竞争性谈判公告</w:t>
      </w:r>
      <w:r>
        <w:rPr>
          <w:rFonts w:hint="eastAsia" w:ascii="仿宋_GB2312" w:hAnsi="仿宋_GB2312" w:eastAsia="仿宋_GB2312" w:cs="仿宋_GB2312"/>
          <w:color w:val="auto"/>
          <w:sz w:val="24"/>
          <w:highlight w:val="none"/>
        </w:rPr>
        <w:t>获取方式：本次</w:t>
      </w:r>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color w:val="auto"/>
          <w:sz w:val="24"/>
          <w:highlight w:val="none"/>
        </w:rPr>
        <w:t>公告在四川蜀道物流集团有限公司网站（https://www.shudaowl.com/xwzx/jtyw/index.shtml）发布。</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申请人通过指定网站自行下载。</w:t>
      </w:r>
    </w:p>
    <w:p w14:paraId="2BEC074C">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23" w:name="_Toc17101"/>
      <w:bookmarkStart w:id="24" w:name="_Toc10949"/>
      <w:bookmarkStart w:id="25" w:name="_Toc6668"/>
      <w:r>
        <w:rPr>
          <w:rFonts w:hint="eastAsia" w:ascii="仿宋_GB2312" w:hAnsi="仿宋_GB2312" w:eastAsia="仿宋_GB2312" w:cs="仿宋_GB2312"/>
          <w:b/>
          <w:bCs/>
          <w:color w:val="auto"/>
          <w:sz w:val="24"/>
          <w:highlight w:val="none"/>
          <w:lang w:val="en-US" w:eastAsia="zh-CN"/>
        </w:rPr>
        <w:t>七</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竞争性谈判文件</w:t>
      </w:r>
      <w:r>
        <w:rPr>
          <w:rFonts w:hint="eastAsia" w:ascii="仿宋_GB2312" w:hAnsi="仿宋_GB2312" w:eastAsia="仿宋_GB2312" w:cs="仿宋_GB2312"/>
          <w:b/>
          <w:bCs/>
          <w:color w:val="auto"/>
          <w:sz w:val="24"/>
          <w:highlight w:val="none"/>
        </w:rPr>
        <w:t>的递交：</w:t>
      </w:r>
      <w:bookmarkEnd w:id="23"/>
      <w:bookmarkEnd w:id="24"/>
      <w:bookmarkEnd w:id="25"/>
    </w:p>
    <w:p w14:paraId="538929F5">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b w:val="0"/>
          <w:bCs w:val="0"/>
          <w:color w:val="auto"/>
          <w:sz w:val="24"/>
          <w:highlight w:val="none"/>
        </w:rPr>
      </w:pPr>
      <w:r>
        <w:rPr>
          <w:rFonts w:hint="eastAsia" w:ascii="仿宋_GB2312" w:hAnsi="仿宋_GB2312" w:eastAsia="仿宋_GB2312" w:cs="仿宋_GB2312"/>
          <w:color w:val="auto"/>
          <w:sz w:val="24"/>
          <w:highlight w:val="none"/>
        </w:rPr>
        <w:t>1.递交</w:t>
      </w:r>
      <w:r>
        <w:rPr>
          <w:rFonts w:hint="eastAsia" w:ascii="仿宋_GB2312" w:hAnsi="仿宋_GB2312" w:eastAsia="仿宋_GB2312" w:cs="仿宋_GB2312"/>
          <w:b w:val="0"/>
          <w:bCs w:val="0"/>
          <w:color w:val="auto"/>
          <w:sz w:val="24"/>
          <w:highlight w:val="none"/>
          <w:lang w:val="en-US" w:eastAsia="zh-CN"/>
        </w:rPr>
        <w:t>竞争性谈判文件递交</w:t>
      </w:r>
      <w:r>
        <w:rPr>
          <w:rFonts w:hint="eastAsia" w:ascii="仿宋_GB2312" w:hAnsi="仿宋_GB2312" w:eastAsia="仿宋_GB2312" w:cs="仿宋_GB2312"/>
          <w:b w:val="0"/>
          <w:bCs w:val="0"/>
          <w:color w:val="auto"/>
          <w:sz w:val="24"/>
          <w:highlight w:val="none"/>
        </w:rPr>
        <w:t>时间</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b w:val="0"/>
          <w:bCs w:val="0"/>
          <w:color w:val="auto"/>
          <w:sz w:val="24"/>
          <w:highlight w:val="none"/>
          <w:lang w:val="en-US" w:eastAsia="zh-CN"/>
        </w:rPr>
        <w:t>2026</w:t>
      </w:r>
      <w:r>
        <w:rPr>
          <w:rFonts w:hint="eastAsia" w:ascii="仿宋_GB2312" w:hAnsi="仿宋_GB2312" w:eastAsia="仿宋_GB2312" w:cs="仿宋_GB2312"/>
          <w:b w:val="0"/>
          <w:bCs w:val="0"/>
          <w:color w:val="auto"/>
          <w:sz w:val="24"/>
          <w:highlight w:val="none"/>
        </w:rPr>
        <w:t>年</w:t>
      </w:r>
      <w:r>
        <w:rPr>
          <w:rFonts w:hint="eastAsia" w:ascii="仿宋_GB2312" w:hAnsi="仿宋_GB2312" w:eastAsia="仿宋_GB2312" w:cs="仿宋_GB2312"/>
          <w:b w:val="0"/>
          <w:bCs w:val="0"/>
          <w:color w:val="auto"/>
          <w:sz w:val="24"/>
          <w:highlight w:val="none"/>
          <w:lang w:val="en-US" w:eastAsia="zh-CN"/>
        </w:rPr>
        <w:t>xx月xx日xx</w:t>
      </w:r>
      <w:r>
        <w:rPr>
          <w:rFonts w:hint="eastAsia" w:ascii="仿宋_GB2312" w:hAnsi="仿宋_GB2312" w:eastAsia="仿宋_GB2312" w:cs="仿宋_GB2312"/>
          <w:b w:val="0"/>
          <w:bCs w:val="0"/>
          <w:color w:val="auto"/>
          <w:sz w:val="24"/>
          <w:highlight w:val="none"/>
        </w:rPr>
        <w:t>（北京时间）。</w:t>
      </w:r>
    </w:p>
    <w:p w14:paraId="5AC25BC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b w:val="0"/>
          <w:bCs w:val="0"/>
          <w:color w:val="auto"/>
          <w:sz w:val="24"/>
          <w:highlight w:val="none"/>
        </w:rPr>
        <w:t>2.递交</w:t>
      </w:r>
      <w:r>
        <w:rPr>
          <w:rFonts w:hint="eastAsia" w:ascii="仿宋_GB2312" w:hAnsi="仿宋_GB2312" w:eastAsia="仿宋_GB2312" w:cs="仿宋_GB2312"/>
          <w:b w:val="0"/>
          <w:bCs w:val="0"/>
          <w:color w:val="auto"/>
          <w:sz w:val="24"/>
          <w:highlight w:val="none"/>
          <w:lang w:val="en-US" w:eastAsia="zh-CN"/>
        </w:rPr>
        <w:t>竞争性谈判文件</w:t>
      </w:r>
      <w:r>
        <w:rPr>
          <w:rFonts w:hint="eastAsia" w:ascii="仿宋_GB2312" w:hAnsi="仿宋_GB2312" w:eastAsia="仿宋_GB2312" w:cs="仿宋_GB2312"/>
          <w:b w:val="0"/>
          <w:bCs w:val="0"/>
          <w:color w:val="auto"/>
          <w:sz w:val="24"/>
          <w:highlight w:val="none"/>
        </w:rPr>
        <w:t>地</w:t>
      </w:r>
      <w:r>
        <w:rPr>
          <w:rFonts w:hint="eastAsia" w:ascii="仿宋_GB2312" w:hAnsi="仿宋_GB2312" w:eastAsia="仿宋_GB2312" w:cs="仿宋_GB2312"/>
          <w:color w:val="auto"/>
          <w:sz w:val="24"/>
          <w:highlight w:val="none"/>
        </w:rPr>
        <w:t>点：四川省成都市青羊区光华北五路266号青羊总部经济基地2号楼A座6楼。</w:t>
      </w:r>
    </w:p>
    <w:p w14:paraId="419786E1">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3.逾期送达或者未送达指定地点的</w:t>
      </w:r>
      <w:r>
        <w:rPr>
          <w:rFonts w:hint="eastAsia" w:ascii="仿宋_GB2312" w:hAnsi="仿宋_GB2312" w:eastAsia="仿宋_GB2312" w:cs="仿宋_GB2312"/>
          <w:b w:val="0"/>
          <w:bCs w:val="0"/>
          <w:color w:val="auto"/>
          <w:sz w:val="24"/>
          <w:highlight w:val="none"/>
          <w:lang w:val="en-US" w:eastAsia="zh-CN"/>
        </w:rPr>
        <w:t>竞争性谈判文件</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邀请人</w:t>
      </w:r>
      <w:r>
        <w:rPr>
          <w:rFonts w:hint="eastAsia" w:ascii="仿宋_GB2312" w:hAnsi="仿宋_GB2312" w:eastAsia="仿宋_GB2312" w:cs="仿宋_GB2312"/>
          <w:color w:val="auto"/>
          <w:sz w:val="24"/>
          <w:highlight w:val="none"/>
        </w:rPr>
        <w:t>将不予接收。</w:t>
      </w:r>
    </w:p>
    <w:p w14:paraId="479B673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八、评分标准</w:t>
      </w:r>
    </w:p>
    <w:p w14:paraId="63ED91DF">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24"/>
          <w:highlight w:val="none"/>
          <w:lang w:val="en-US" w:eastAsia="zh-CN"/>
        </w:rPr>
      </w:pPr>
      <w:r>
        <w:rPr>
          <w:rFonts w:hint="eastAsia" w:ascii="方正楷体_GB2312" w:hAnsi="方正楷体_GB2312" w:eastAsia="方正楷体_GB2312" w:cs="方正楷体_GB2312"/>
          <w:b/>
          <w:bCs/>
          <w:color w:val="000000" w:themeColor="text1"/>
          <w:kern w:val="0"/>
          <w:sz w:val="28"/>
          <w:szCs w:val="28"/>
          <w:highlight w:val="none"/>
          <w:lang w:val="en-US" w:bidi="zh-CN"/>
          <w14:textFill>
            <w14:solidFill>
              <w14:schemeClr w14:val="tx1"/>
            </w14:solidFill>
          </w14:textFill>
        </w:rPr>
        <w:t xml:space="preserve">    </w:t>
      </w:r>
      <w:r>
        <w:rPr>
          <w:rFonts w:hint="eastAsia" w:ascii="仿宋_GB2312" w:hAnsi="仿宋_GB2312" w:eastAsia="仿宋_GB2312" w:cs="仿宋_GB2312"/>
          <w:color w:val="auto"/>
          <w:sz w:val="24"/>
          <w:highlight w:val="none"/>
          <w:lang w:val="en-US" w:eastAsia="zh-CN"/>
        </w:rPr>
        <w:t>以价低中选原则确定中选人。</w:t>
      </w:r>
    </w:p>
    <w:p w14:paraId="16AD4EDE">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26" w:name="_Toc3060"/>
      <w:bookmarkStart w:id="27" w:name="_Toc11556"/>
      <w:bookmarkStart w:id="28" w:name="_Toc44"/>
      <w:r>
        <w:rPr>
          <w:rFonts w:hint="eastAsia" w:ascii="仿宋_GB2312" w:hAnsi="仿宋_GB2312" w:eastAsia="仿宋_GB2312" w:cs="仿宋_GB2312"/>
          <w:b/>
          <w:bCs/>
          <w:color w:val="auto"/>
          <w:sz w:val="24"/>
          <w:highlight w:val="none"/>
          <w:lang w:val="en-US" w:eastAsia="zh-CN"/>
        </w:rPr>
        <w:t>九</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竞争性谈判</w:t>
      </w:r>
      <w:r>
        <w:rPr>
          <w:rFonts w:hint="eastAsia" w:ascii="仿宋_GB2312" w:hAnsi="仿宋_GB2312" w:eastAsia="仿宋_GB2312" w:cs="仿宋_GB2312"/>
          <w:b/>
          <w:bCs/>
          <w:color w:val="auto"/>
          <w:sz w:val="24"/>
          <w:highlight w:val="none"/>
        </w:rPr>
        <w:t>结果</w:t>
      </w:r>
      <w:bookmarkEnd w:id="26"/>
      <w:bookmarkEnd w:id="27"/>
      <w:bookmarkEnd w:id="28"/>
      <w:r>
        <w:rPr>
          <w:rFonts w:hint="eastAsia" w:ascii="仿宋_GB2312" w:hAnsi="仿宋_GB2312" w:eastAsia="仿宋_GB2312" w:cs="仿宋_GB2312"/>
          <w:b/>
          <w:bCs/>
          <w:color w:val="auto"/>
          <w:sz w:val="24"/>
          <w:highlight w:val="none"/>
        </w:rPr>
        <w:t>公示</w:t>
      </w:r>
    </w:p>
    <w:p w14:paraId="15501B6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bookmarkStart w:id="29" w:name="_Toc20715"/>
      <w:bookmarkStart w:id="30" w:name="_Toc3220"/>
      <w:bookmarkStart w:id="31" w:name="_Toc27109"/>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b w:val="0"/>
          <w:bCs w:val="0"/>
          <w:color w:val="auto"/>
          <w:sz w:val="24"/>
          <w:highlight w:val="none"/>
        </w:rPr>
        <w:t>结果</w:t>
      </w:r>
      <w:r>
        <w:rPr>
          <w:rFonts w:hint="eastAsia" w:ascii="仿宋_GB2312" w:hAnsi="仿宋_GB2312" w:eastAsia="仿宋_GB2312" w:cs="仿宋_GB2312"/>
          <w:color w:val="auto"/>
          <w:sz w:val="24"/>
          <w:highlight w:val="none"/>
        </w:rPr>
        <w:t>在四川蜀道物流集团有限公司网站（https://www.shudaowl.com/xwzx/jtyw/index.shtml）</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申请人或者其他利害关系人对评审结果有异议的，应当在公示期间提出。</w:t>
      </w:r>
    </w:p>
    <w:p w14:paraId="271DAEBC">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十</w:t>
      </w:r>
      <w:r>
        <w:rPr>
          <w:rFonts w:hint="eastAsia" w:ascii="仿宋_GB2312" w:hAnsi="仿宋_GB2312" w:eastAsia="仿宋_GB2312" w:cs="仿宋_GB2312"/>
          <w:b/>
          <w:bCs/>
          <w:color w:val="auto"/>
          <w:sz w:val="24"/>
          <w:highlight w:val="none"/>
        </w:rPr>
        <w:t>、联系方式</w:t>
      </w:r>
      <w:bookmarkEnd w:id="29"/>
      <w:bookmarkEnd w:id="30"/>
      <w:bookmarkEnd w:id="31"/>
    </w:p>
    <w:p w14:paraId="70281DBF">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邀请人</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四川省铁产石油化工有限责任公司</w:t>
      </w:r>
    </w:p>
    <w:p w14:paraId="4A522B8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地址：四川省成都市青羊区光华北五路266号青羊总部经济基地2号楼A座6楼</w:t>
      </w:r>
    </w:p>
    <w:p w14:paraId="112BF7B3">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苟格</w:t>
      </w:r>
    </w:p>
    <w:p w14:paraId="69E79EA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 xml:space="preserve">15828331774  </w:t>
      </w:r>
    </w:p>
    <w:p w14:paraId="0D5038C6">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四川省铁产石油化工有限责任公司</w:t>
      </w:r>
    </w:p>
    <w:p w14:paraId="4FCBD0F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 xml:space="preserve">日       </w:t>
      </w:r>
    </w:p>
    <w:p w14:paraId="7BAC5BD8">
      <w:pPr>
        <w:spacing w:line="460" w:lineRule="exact"/>
        <w:jc w:val="center"/>
        <w:rPr>
          <w:rFonts w:ascii="仿宋_GB2312" w:hAnsi="仿宋_GB2312" w:eastAsia="仿宋_GB2312" w:cs="仿宋_GB2312"/>
          <w:color w:val="auto"/>
          <w:sz w:val="24"/>
          <w:szCs w:val="24"/>
          <w:highlight w:val="none"/>
        </w:rPr>
        <w:sectPr>
          <w:footerReference r:id="rId5" w:type="default"/>
          <w:pgSz w:w="11906" w:h="16838"/>
          <w:pgMar w:top="1134" w:right="1134" w:bottom="1134" w:left="1418" w:header="851" w:footer="992" w:gutter="0"/>
          <w:pgNumType w:fmt="decimal" w:start="1"/>
          <w:cols w:space="720" w:num="1"/>
          <w:docGrid w:type="lines" w:linePitch="312" w:charSpace="0"/>
        </w:sectPr>
      </w:pPr>
      <w:bookmarkStart w:id="32" w:name="_Toc10831"/>
      <w:bookmarkStart w:id="33" w:name="_Toc15543"/>
    </w:p>
    <w:p w14:paraId="27DC214D">
      <w:pPr>
        <w:keepNext/>
        <w:keepLines/>
        <w:widowControl w:val="0"/>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34" w:name="_Toc12159"/>
      <w:bookmarkStart w:id="35" w:name="_Toc28084"/>
      <w:bookmarkStart w:id="36" w:name="_Toc11060"/>
      <w:bookmarkStart w:id="37" w:name="_Toc8513"/>
      <w:bookmarkStart w:id="38" w:name="_Toc11789"/>
      <w:bookmarkStart w:id="39" w:name="_Toc28121"/>
      <w:bookmarkStart w:id="40" w:name="_Toc2958"/>
      <w:bookmarkStart w:id="41" w:name="_Toc18098"/>
      <w:bookmarkStart w:id="42" w:name="_Toc32694"/>
      <w:bookmarkStart w:id="43" w:name="_Toc29401"/>
      <w:r>
        <w:rPr>
          <w:rFonts w:hint="eastAsia" w:ascii="仿宋_GB2312" w:hAnsi="仿宋_GB2312" w:eastAsia="仿宋_GB2312" w:cs="仿宋_GB2312"/>
          <w:b/>
          <w:bCs/>
          <w:color w:val="auto"/>
          <w:kern w:val="44"/>
          <w:sz w:val="32"/>
          <w:szCs w:val="32"/>
          <w:highlight w:val="none"/>
          <w:lang w:val="en-US" w:eastAsia="zh-CN" w:bidi="ar-SA"/>
        </w:rPr>
        <w:t xml:space="preserve">第二章 </w:t>
      </w:r>
      <w:r>
        <w:rPr>
          <w:rFonts w:hint="eastAsia" w:ascii="仿宋_GB2312" w:hAnsi="仿宋_GB2312" w:eastAsia="仿宋_GB2312" w:cs="仿宋_GB2312"/>
          <w:b/>
          <w:bCs/>
          <w:color w:val="auto"/>
          <w:sz w:val="32"/>
          <w:szCs w:val="32"/>
          <w:highlight w:val="none"/>
          <w:lang w:val="en-US" w:eastAsia="zh-CN"/>
        </w:rPr>
        <w:t>竞争性谈判</w:t>
      </w:r>
      <w:r>
        <w:rPr>
          <w:rFonts w:hint="eastAsia" w:ascii="仿宋_GB2312" w:hAnsi="仿宋_GB2312" w:eastAsia="仿宋_GB2312" w:cs="仿宋_GB2312"/>
          <w:b/>
          <w:bCs/>
          <w:color w:val="auto"/>
          <w:sz w:val="32"/>
          <w:szCs w:val="32"/>
          <w:highlight w:val="none"/>
        </w:rPr>
        <w:t>申请人</w:t>
      </w:r>
      <w:r>
        <w:rPr>
          <w:rFonts w:hint="eastAsia" w:ascii="仿宋_GB2312" w:hAnsi="仿宋_GB2312" w:eastAsia="仿宋_GB2312" w:cs="仿宋_GB2312"/>
          <w:b/>
          <w:bCs/>
          <w:color w:val="auto"/>
          <w:kern w:val="44"/>
          <w:sz w:val="32"/>
          <w:szCs w:val="32"/>
          <w:highlight w:val="none"/>
          <w:lang w:val="en-US" w:eastAsia="zh-CN" w:bidi="ar-SA"/>
        </w:rPr>
        <w:t>须知</w:t>
      </w:r>
      <w:bookmarkEnd w:id="32"/>
      <w:bookmarkEnd w:id="33"/>
      <w:bookmarkEnd w:id="34"/>
      <w:bookmarkEnd w:id="35"/>
      <w:bookmarkEnd w:id="36"/>
      <w:bookmarkEnd w:id="37"/>
      <w:bookmarkEnd w:id="38"/>
      <w:bookmarkEnd w:id="39"/>
      <w:bookmarkEnd w:id="40"/>
      <w:bookmarkEnd w:id="41"/>
      <w:bookmarkEnd w:id="42"/>
      <w:bookmarkEnd w:id="43"/>
    </w:p>
    <w:p w14:paraId="6E1A1817">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bookmarkStart w:id="44" w:name="_Toc20515"/>
      <w:bookmarkStart w:id="45" w:name="_Toc28840"/>
      <w:bookmarkStart w:id="46" w:name="_Toc13191"/>
      <w:bookmarkStart w:id="47" w:name="_Toc7543"/>
      <w:bookmarkStart w:id="48" w:name="_Toc29372"/>
      <w:r>
        <w:rPr>
          <w:rFonts w:hint="eastAsia" w:ascii="仿宋_GB2312" w:hAnsi="仿宋_GB2312" w:eastAsia="仿宋_GB2312" w:cs="仿宋_GB2312"/>
          <w:b/>
          <w:bCs/>
          <w:color w:val="auto"/>
          <w:kern w:val="28"/>
          <w:sz w:val="24"/>
          <w:szCs w:val="24"/>
          <w:highlight w:val="none"/>
          <w:lang w:val="en-US" w:eastAsia="zh-CN" w:bidi="ar-SA"/>
        </w:rPr>
        <w:t>一、</w:t>
      </w:r>
      <w:r>
        <w:rPr>
          <w:rFonts w:hint="eastAsia" w:ascii="仿宋_GB2312" w:hAnsi="仿宋_GB2312" w:eastAsia="仿宋_GB2312" w:cs="仿宋_GB2312"/>
          <w:b/>
          <w:bCs/>
          <w:color w:val="auto"/>
          <w:sz w:val="24"/>
          <w:highlight w:val="none"/>
          <w:lang w:val="en-US" w:eastAsia="zh-CN"/>
        </w:rPr>
        <w:t>竞争性谈判</w:t>
      </w:r>
      <w:r>
        <w:rPr>
          <w:rFonts w:hint="eastAsia" w:ascii="仿宋_GB2312" w:hAnsi="仿宋_GB2312" w:eastAsia="仿宋_GB2312" w:cs="仿宋_GB2312"/>
          <w:b/>
          <w:bCs/>
          <w:color w:val="auto"/>
          <w:sz w:val="24"/>
          <w:highlight w:val="none"/>
        </w:rPr>
        <w:t>申请人</w:t>
      </w:r>
      <w:r>
        <w:rPr>
          <w:rFonts w:hint="eastAsia" w:ascii="仿宋_GB2312" w:hAnsi="仿宋_GB2312" w:eastAsia="仿宋_GB2312" w:cs="仿宋_GB2312"/>
          <w:b/>
          <w:bCs/>
          <w:color w:val="auto"/>
          <w:kern w:val="28"/>
          <w:sz w:val="24"/>
          <w:szCs w:val="24"/>
          <w:highlight w:val="none"/>
          <w:lang w:val="en-US" w:eastAsia="zh-CN" w:bidi="ar-SA"/>
        </w:rPr>
        <w:t>须知前附表</w:t>
      </w:r>
      <w:bookmarkEnd w:id="44"/>
      <w:bookmarkEnd w:id="45"/>
      <w:bookmarkEnd w:id="46"/>
      <w:bookmarkEnd w:id="47"/>
      <w:bookmarkEnd w:id="48"/>
    </w:p>
    <w:tbl>
      <w:tblPr>
        <w:tblStyle w:val="7"/>
        <w:tblW w:w="98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392"/>
        <w:gridCol w:w="6662"/>
      </w:tblGrid>
      <w:tr w14:paraId="64D23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799" w:type="dxa"/>
            <w:vAlign w:val="center"/>
          </w:tcPr>
          <w:p w14:paraId="48B654C2">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392" w:type="dxa"/>
            <w:vAlign w:val="center"/>
          </w:tcPr>
          <w:p w14:paraId="792B9C1C">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内    容</w:t>
            </w:r>
          </w:p>
        </w:tc>
        <w:tc>
          <w:tcPr>
            <w:tcW w:w="6662" w:type="dxa"/>
            <w:vAlign w:val="center"/>
          </w:tcPr>
          <w:p w14:paraId="3141B91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 明 与 要 求</w:t>
            </w:r>
          </w:p>
        </w:tc>
      </w:tr>
      <w:tr w14:paraId="25F9F0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799" w:type="dxa"/>
            <w:vAlign w:val="center"/>
          </w:tcPr>
          <w:p w14:paraId="3860CAF1">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92" w:type="dxa"/>
            <w:vAlign w:val="center"/>
          </w:tcPr>
          <w:p w14:paraId="19C430C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w:t>
            </w:r>
          </w:p>
        </w:tc>
        <w:tc>
          <w:tcPr>
            <w:tcW w:w="6662" w:type="dxa"/>
            <w:vAlign w:val="center"/>
          </w:tcPr>
          <w:p w14:paraId="6946275F">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四川省铁产石油化工有限责任公司</w:t>
            </w:r>
          </w:p>
          <w:p w14:paraId="5A373AA5">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地址：四川省成都市青羊区光华北五路266号青羊总部经济基地2号楼A座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楼</w:t>
            </w:r>
          </w:p>
          <w:p w14:paraId="04C7397C">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 xml:space="preserve">苟格  </w:t>
            </w:r>
          </w:p>
          <w:p w14:paraId="6CD8ED95">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15828331774</w:t>
            </w:r>
          </w:p>
          <w:p w14:paraId="4FF468A1">
            <w:pPr>
              <w:pStyle w:val="3"/>
              <w:rPr>
                <w:rFonts w:hint="default" w:eastAsia="仿宋_GB2312"/>
                <w:color w:val="auto"/>
                <w:highlight w:val="none"/>
                <w:lang w:val="en-US" w:eastAsia="zh-CN"/>
              </w:rPr>
            </w:pPr>
            <w:r>
              <w:rPr>
                <w:rFonts w:hint="eastAsia" w:ascii="仿宋_GB2312" w:hAnsi="仿宋_GB2312" w:eastAsia="仿宋_GB2312" w:cs="仿宋_GB2312"/>
                <w:color w:val="auto"/>
                <w:sz w:val="24"/>
                <w:highlight w:val="none"/>
                <w:lang w:val="en-US" w:eastAsia="zh-CN"/>
              </w:rPr>
              <w:t>电子邮箱：15828331774@163.com</w:t>
            </w:r>
          </w:p>
        </w:tc>
      </w:tr>
      <w:tr w14:paraId="3A3A4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3349B831">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92" w:type="dxa"/>
            <w:vAlign w:val="center"/>
          </w:tcPr>
          <w:p w14:paraId="2A325B4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6662" w:type="dxa"/>
            <w:vAlign w:val="center"/>
          </w:tcPr>
          <w:p w14:paraId="42B20CFD">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四川省铁产石油化工有限责任公司关于选聘某公司欠款案件专项法律服务机构</w:t>
            </w:r>
          </w:p>
        </w:tc>
      </w:tr>
      <w:tr w14:paraId="3EB9C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6C255C3D">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92" w:type="dxa"/>
            <w:vAlign w:val="center"/>
          </w:tcPr>
          <w:p w14:paraId="128ED436">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书</w:t>
            </w:r>
            <w:r>
              <w:rPr>
                <w:rFonts w:hint="eastAsia" w:ascii="仿宋_GB2312" w:hAnsi="仿宋_GB2312" w:eastAsia="仿宋_GB2312" w:cs="仿宋_GB2312"/>
                <w:color w:val="auto"/>
                <w:sz w:val="24"/>
                <w:highlight w:val="none"/>
              </w:rPr>
              <w:t>的</w:t>
            </w:r>
          </w:p>
          <w:p w14:paraId="29019AD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印制和签署</w:t>
            </w:r>
          </w:p>
          <w:p w14:paraId="34096718">
            <w:pPr>
              <w:spacing w:line="460" w:lineRule="exact"/>
              <w:jc w:val="center"/>
              <w:rPr>
                <w:rFonts w:ascii="仿宋_GB2312" w:hAnsi="仿宋_GB2312" w:eastAsia="仿宋_GB2312" w:cs="仿宋_GB2312"/>
                <w:color w:val="auto"/>
                <w:sz w:val="24"/>
                <w:highlight w:val="none"/>
              </w:rPr>
            </w:pPr>
          </w:p>
        </w:tc>
        <w:tc>
          <w:tcPr>
            <w:tcW w:w="6662" w:type="dxa"/>
            <w:vAlign w:val="center"/>
          </w:tcPr>
          <w:p w14:paraId="4FA9DBBE">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竞争性谈判</w:t>
            </w:r>
            <w:r>
              <w:rPr>
                <w:rFonts w:hint="eastAsia" w:ascii="仿宋_GB2312" w:hAnsi="仿宋_GB2312" w:eastAsia="仿宋_GB2312" w:cs="仿宋_GB2312"/>
                <w:b/>
                <w:bCs/>
                <w:color w:val="auto"/>
                <w:sz w:val="24"/>
                <w:highlight w:val="none"/>
              </w:rPr>
              <w:t>申请</w:t>
            </w:r>
            <w:r>
              <w:rPr>
                <w:rFonts w:hint="eastAsia" w:ascii="仿宋_GB2312" w:hAnsi="仿宋_GB2312" w:eastAsia="仿宋_GB2312" w:cs="仿宋_GB2312"/>
                <w:b/>
                <w:bCs/>
                <w:color w:val="auto"/>
                <w:sz w:val="24"/>
                <w:highlight w:val="none"/>
                <w:lang w:val="en-US" w:eastAsia="zh-CN"/>
              </w:rPr>
              <w:t>书</w:t>
            </w:r>
            <w:r>
              <w:rPr>
                <w:rFonts w:hint="eastAsia" w:ascii="仿宋_GB2312" w:hAnsi="仿宋_GB2312" w:eastAsia="仿宋_GB2312" w:cs="仿宋_GB2312"/>
                <w:b/>
                <w:bCs/>
                <w:color w:val="auto"/>
                <w:sz w:val="24"/>
                <w:highlight w:val="none"/>
              </w:rPr>
              <w:t>数量</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color w:val="auto"/>
                <w:sz w:val="24"/>
                <w:highlight w:val="none"/>
              </w:rPr>
              <w:t>正本壹份，副本壹份</w:t>
            </w:r>
          </w:p>
          <w:p w14:paraId="40238E08">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制作要求：</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书</w:t>
            </w:r>
            <w:r>
              <w:rPr>
                <w:rFonts w:hint="eastAsia" w:ascii="仿宋_GB2312" w:hAnsi="仿宋_GB2312" w:eastAsia="仿宋_GB2312" w:cs="仿宋_GB2312"/>
                <w:color w:val="auto"/>
                <w:sz w:val="24"/>
                <w:highlight w:val="none"/>
              </w:rPr>
              <w:t>的正本和副本应在其封面清楚地标明“正本”或“副本”字样。若正本和副本有不一致的内容，以正本书面</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书</w:t>
            </w:r>
            <w:r>
              <w:rPr>
                <w:rFonts w:hint="eastAsia" w:ascii="仿宋_GB2312" w:hAnsi="仿宋_GB2312" w:eastAsia="仿宋_GB2312" w:cs="仿宋_GB2312"/>
                <w:color w:val="auto"/>
                <w:sz w:val="24"/>
                <w:highlight w:val="none"/>
              </w:rPr>
              <w:t>为准。</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书</w:t>
            </w:r>
            <w:r>
              <w:rPr>
                <w:rFonts w:hint="eastAsia" w:ascii="仿宋_GB2312" w:hAnsi="仿宋_GB2312" w:eastAsia="仿宋_GB2312" w:cs="仿宋_GB2312"/>
                <w:color w:val="auto"/>
                <w:sz w:val="24"/>
                <w:highlight w:val="none"/>
              </w:rPr>
              <w:t>的正本和副本均需打印或用不褪色、不变质的墨水书写，并由</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人</w:t>
            </w:r>
            <w:r>
              <w:rPr>
                <w:rFonts w:hint="eastAsia" w:ascii="仿宋_GB2312" w:hAnsi="仿宋_GB2312" w:eastAsia="仿宋_GB2312" w:cs="仿宋_GB2312"/>
                <w:color w:val="auto"/>
                <w:sz w:val="24"/>
                <w:highlight w:val="none"/>
              </w:rPr>
              <w:t>的法定代表人或其授权代表在规定签章处签字或盖章。</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书</w:t>
            </w:r>
            <w:r>
              <w:rPr>
                <w:rFonts w:hint="eastAsia" w:ascii="仿宋_GB2312" w:hAnsi="仿宋_GB2312" w:eastAsia="仿宋_GB2312" w:cs="仿宋_GB2312"/>
                <w:color w:val="auto"/>
                <w:sz w:val="24"/>
                <w:highlight w:val="none"/>
              </w:rPr>
              <w:t>副本可采用正本的复印件。</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书</w:t>
            </w:r>
            <w:r>
              <w:rPr>
                <w:rFonts w:hint="eastAsia" w:ascii="仿宋_GB2312" w:hAnsi="仿宋_GB2312" w:eastAsia="仿宋_GB2312" w:cs="仿宋_GB2312"/>
                <w:color w:val="auto"/>
                <w:sz w:val="24"/>
                <w:highlight w:val="none"/>
              </w:rPr>
              <w:t>正本和副本应当采取胶装方式装订成册，不得散装或者活页装订。比选申请书统一用A4幅面纸印制，逐页编码（除附加页或原件等其他资料外）。</w:t>
            </w:r>
          </w:p>
        </w:tc>
      </w:tr>
      <w:tr w14:paraId="5E981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52236FB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92" w:type="dxa"/>
            <w:vAlign w:val="center"/>
          </w:tcPr>
          <w:p w14:paraId="55B5FFDA">
            <w:pPr>
              <w:spacing w:line="460" w:lineRule="exact"/>
              <w:jc w:val="center"/>
              <w:rPr>
                <w:rFonts w:ascii="仿宋_GB2312" w:hAnsi="仿宋_GB2312" w:eastAsia="仿宋_GB2312" w:cs="仿宋_GB2312"/>
                <w:color w:val="auto"/>
                <w:sz w:val="24"/>
                <w:highlight w:val="none"/>
              </w:rPr>
            </w:pPr>
          </w:p>
          <w:p w14:paraId="32B86E37">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p w14:paraId="5D68CAAA">
            <w:pPr>
              <w:spacing w:line="460" w:lineRule="exact"/>
              <w:jc w:val="center"/>
              <w:rPr>
                <w:rFonts w:ascii="仿宋_GB2312" w:hAnsi="仿宋_GB2312" w:eastAsia="仿宋_GB2312" w:cs="仿宋_GB2312"/>
                <w:color w:val="auto"/>
                <w:sz w:val="24"/>
                <w:highlight w:val="none"/>
              </w:rPr>
            </w:pPr>
          </w:p>
        </w:tc>
        <w:tc>
          <w:tcPr>
            <w:tcW w:w="6662" w:type="dxa"/>
            <w:vAlign w:val="center"/>
          </w:tcPr>
          <w:p w14:paraId="362A3127">
            <w:pPr>
              <w:spacing w:line="460" w:lineRule="exact"/>
              <w:jc w:val="center"/>
              <w:rPr>
                <w:rFonts w:hint="default" w:ascii="仿宋_GB2312" w:hAnsi="仿宋_GB2312" w:eastAsia="仿宋_GB2312" w:cs="仿宋_GB2312"/>
                <w:color w:val="auto"/>
                <w:sz w:val="24"/>
                <w:highlight w:val="none"/>
                <w:lang w:val="en-US" w:eastAsia="zh-CN"/>
              </w:rPr>
            </w:pPr>
          </w:p>
          <w:p w14:paraId="7C8280FB">
            <w:pPr>
              <w:pStyle w:val="3"/>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风险代理费：不超过9.2万（含本数）</w:t>
            </w:r>
          </w:p>
          <w:p w14:paraId="42877236">
            <w:pPr>
              <w:pStyle w:val="3"/>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报价超过最高限价将无法进入综合评分阶段</w:t>
            </w:r>
          </w:p>
        </w:tc>
      </w:tr>
      <w:tr w14:paraId="3E449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9" w:type="dxa"/>
            <w:vAlign w:val="center"/>
          </w:tcPr>
          <w:p w14:paraId="07A709AF">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p>
        </w:tc>
        <w:tc>
          <w:tcPr>
            <w:tcW w:w="2392" w:type="dxa"/>
            <w:vAlign w:val="center"/>
          </w:tcPr>
          <w:p w14:paraId="02F3136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报价方式</w:t>
            </w:r>
          </w:p>
        </w:tc>
        <w:tc>
          <w:tcPr>
            <w:tcW w:w="6662" w:type="dxa"/>
            <w:vAlign w:val="center"/>
          </w:tcPr>
          <w:p w14:paraId="6EA3FB61">
            <w:pPr>
              <w:pStyle w:val="3"/>
              <w:keepNext w:val="0"/>
              <w:keepLines w:val="0"/>
              <w:pageBreakBefore w:val="0"/>
              <w:widowControl/>
              <w:kinsoku/>
              <w:wordWrap/>
              <w:overflowPunct/>
              <w:topLinePunct w:val="0"/>
              <w:autoSpaceDE/>
              <w:autoSpaceDN/>
              <w:bidi w:val="0"/>
              <w:adjustRightInd w:val="0"/>
              <w:snapToGrid w:val="0"/>
              <w:spacing w:line="560" w:lineRule="exact"/>
              <w:ind w:right="0"/>
              <w:jc w:val="left"/>
              <w:textAlignment w:val="baseline"/>
              <w:rPr>
                <w:rFonts w:hint="eastAsia" w:ascii="仿宋_GB2312" w:hAnsi="仿宋_GB2312" w:eastAsia="仿宋_GB2312" w:cs="仿宋_GB2312"/>
                <w:snapToGrid/>
                <w:color w:val="000000"/>
                <w:kern w:val="2"/>
                <w:sz w:val="24"/>
                <w:szCs w:val="24"/>
                <w:lang w:val="en-US" w:eastAsia="zh-CN" w:bidi="ar-SA"/>
              </w:rPr>
            </w:pPr>
            <w:r>
              <w:rPr>
                <w:rFonts w:hint="eastAsia" w:ascii="仿宋_GB2312" w:hAnsi="仿宋_GB2312" w:eastAsia="仿宋_GB2312" w:cs="仿宋_GB2312"/>
                <w:snapToGrid/>
                <w:color w:val="000000"/>
                <w:kern w:val="2"/>
                <w:sz w:val="24"/>
                <w:szCs w:val="24"/>
                <w:lang w:val="en-US" w:eastAsia="zh-CN" w:bidi="ar-SA"/>
              </w:rPr>
              <w:t>按照“全风险代理费”方式进行报价。风险代理费以“元”为单位.</w:t>
            </w:r>
            <w:r>
              <w:rPr>
                <w:rFonts w:hint="eastAsia" w:ascii="仿宋_GB2312" w:hAnsi="仿宋_GB2312" w:eastAsia="仿宋_GB2312" w:cs="仿宋_GB2312"/>
                <w:color w:val="auto"/>
                <w:sz w:val="24"/>
                <w:highlight w:val="none"/>
                <w:lang w:val="en-US" w:eastAsia="zh-CN"/>
              </w:rPr>
              <w:t>其中，风险代理费按照收回本金、利息、违约金部分进行计价。</w:t>
            </w:r>
            <w:r>
              <w:rPr>
                <w:rFonts w:hint="eastAsia" w:ascii="仿宋_GB2312" w:hAnsi="仿宋_GB2312" w:eastAsia="仿宋_GB2312" w:cs="仿宋_GB2312"/>
                <w:snapToGrid/>
                <w:color w:val="000000"/>
                <w:kern w:val="2"/>
                <w:sz w:val="24"/>
                <w:szCs w:val="24"/>
                <w:lang w:val="en-US" w:eastAsia="zh-CN" w:bidi="ar-SA"/>
              </w:rPr>
              <w:t>报价费用包括但不限于</w:t>
            </w:r>
            <w:r>
              <w:rPr>
                <w:rFonts w:hint="default" w:ascii="仿宋_GB2312" w:hAnsi="仿宋_GB2312" w:eastAsia="仿宋_GB2312" w:cs="仿宋_GB2312"/>
                <w:color w:val="auto"/>
                <w:sz w:val="24"/>
                <w:highlight w:val="none"/>
                <w:lang w:val="en-US" w:eastAsia="zh-CN"/>
              </w:rPr>
              <w:t>诉讼阶段一审、二审（若有）、再审（若有）代理费用和执行阶段（若有）代理费用</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snapToGrid/>
                <w:color w:val="000000"/>
                <w:kern w:val="2"/>
                <w:sz w:val="24"/>
                <w:szCs w:val="24"/>
                <w:lang w:val="en-US" w:eastAsia="zh-CN" w:bidi="ar-SA"/>
              </w:rPr>
              <w:t>差旅费。不包含案件办理过程中可能涉及的诉讼费、保全费、鉴定费、公告费等第三方收取的相关费用。</w:t>
            </w:r>
            <w:r>
              <w:rPr>
                <w:rFonts w:hint="eastAsia" w:ascii="方正楷体_GB2312" w:hAnsi="方正楷体_GB2312" w:eastAsia="方正楷体_GB2312" w:cs="方正楷体_GB2312"/>
                <w:b/>
                <w:bCs/>
                <w:color w:val="000000" w:themeColor="text1"/>
                <w:kern w:val="0"/>
                <w:sz w:val="28"/>
                <w:szCs w:val="28"/>
                <w:highlight w:val="none"/>
                <w:lang w:val="en-US" w:bidi="zh-CN"/>
                <w14:textFill>
                  <w14:solidFill>
                    <w14:schemeClr w14:val="tx1"/>
                  </w14:solidFill>
                </w14:textFill>
              </w:rPr>
              <w:t xml:space="preserve"> </w:t>
            </w:r>
            <w:r>
              <w:rPr>
                <w:rFonts w:hint="eastAsia" w:ascii="仿宋_GB2312" w:hAnsi="仿宋_GB2312" w:eastAsia="仿宋_GB2312" w:cs="仿宋_GB2312"/>
                <w:snapToGrid/>
                <w:color w:val="000000"/>
                <w:kern w:val="2"/>
                <w:sz w:val="24"/>
                <w:szCs w:val="24"/>
                <w:lang w:val="en-US" w:eastAsia="zh-CN" w:bidi="ar-SA"/>
              </w:rPr>
              <w:t>以价低中选原则确定中选人。</w:t>
            </w:r>
          </w:p>
          <w:p w14:paraId="0ACFD44A">
            <w:pPr>
              <w:spacing w:line="460" w:lineRule="exact"/>
              <w:jc w:val="left"/>
              <w:rPr>
                <w:rFonts w:hint="default" w:ascii="仿宋_GB2312" w:hAnsi="仿宋_GB2312" w:eastAsia="仿宋_GB2312" w:cs="仿宋_GB2312"/>
                <w:color w:val="auto"/>
                <w:sz w:val="24"/>
                <w:highlight w:val="none"/>
                <w:lang w:val="en-US" w:eastAsia="zh-CN"/>
              </w:rPr>
            </w:pPr>
          </w:p>
        </w:tc>
      </w:tr>
      <w:tr w14:paraId="7D31F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3D6BB3DF">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w:t>
            </w:r>
          </w:p>
        </w:tc>
        <w:tc>
          <w:tcPr>
            <w:tcW w:w="2392" w:type="dxa"/>
            <w:vAlign w:val="center"/>
          </w:tcPr>
          <w:p w14:paraId="74250DD7">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考察现场、标前</w:t>
            </w:r>
          </w:p>
          <w:p w14:paraId="1B569A2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答疑会</w:t>
            </w:r>
          </w:p>
        </w:tc>
        <w:tc>
          <w:tcPr>
            <w:tcW w:w="6662" w:type="dxa"/>
            <w:vAlign w:val="center"/>
          </w:tcPr>
          <w:p w14:paraId="2D70E6C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本项目不组织现场考察、标前答疑会</w:t>
            </w:r>
          </w:p>
        </w:tc>
      </w:tr>
      <w:tr w14:paraId="39E36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637D75AA">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w:t>
            </w:r>
          </w:p>
        </w:tc>
        <w:tc>
          <w:tcPr>
            <w:tcW w:w="2392" w:type="dxa"/>
            <w:vAlign w:val="center"/>
          </w:tcPr>
          <w:p w14:paraId="62BB7FD8">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现场陈述</w:t>
            </w:r>
          </w:p>
        </w:tc>
        <w:tc>
          <w:tcPr>
            <w:tcW w:w="6662" w:type="dxa"/>
            <w:vAlign w:val="center"/>
          </w:tcPr>
          <w:p w14:paraId="204D354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本项目不组织现场陈述</w:t>
            </w:r>
          </w:p>
        </w:tc>
      </w:tr>
      <w:tr w14:paraId="2BC315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04E85BAE">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p>
        </w:tc>
        <w:tc>
          <w:tcPr>
            <w:tcW w:w="2392" w:type="dxa"/>
            <w:vAlign w:val="center"/>
          </w:tcPr>
          <w:p w14:paraId="508AEAAE">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评审方法</w:t>
            </w:r>
          </w:p>
        </w:tc>
        <w:tc>
          <w:tcPr>
            <w:tcW w:w="6662" w:type="dxa"/>
            <w:vAlign w:val="center"/>
          </w:tcPr>
          <w:p w14:paraId="67CD58DA">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详见</w:t>
            </w:r>
            <w:r>
              <w:rPr>
                <w:rFonts w:hint="eastAsia" w:ascii="仿宋_GB2312" w:hAnsi="仿宋_GB2312" w:eastAsia="仿宋_GB2312" w:cs="仿宋_GB2312"/>
                <w:color w:val="auto"/>
                <w:sz w:val="24"/>
                <w:highlight w:val="none"/>
                <w:lang w:val="en-US" w:eastAsia="zh-CN"/>
              </w:rPr>
              <w:t>竞争性谈判文件</w:t>
            </w:r>
            <w:r>
              <w:rPr>
                <w:rFonts w:hint="eastAsia" w:ascii="仿宋_GB2312" w:hAnsi="仿宋_GB2312" w:eastAsia="仿宋_GB2312" w:cs="仿宋_GB2312"/>
                <w:color w:val="auto"/>
                <w:sz w:val="24"/>
                <w:highlight w:val="none"/>
              </w:rPr>
              <w:t>第六章。</w:t>
            </w:r>
          </w:p>
        </w:tc>
      </w:tr>
      <w:tr w14:paraId="008AE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799" w:type="dxa"/>
            <w:vAlign w:val="center"/>
          </w:tcPr>
          <w:p w14:paraId="6855380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9</w:t>
            </w:r>
          </w:p>
        </w:tc>
        <w:tc>
          <w:tcPr>
            <w:tcW w:w="2392" w:type="dxa"/>
            <w:vAlign w:val="center"/>
          </w:tcPr>
          <w:p w14:paraId="30813A9E">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关于</w:t>
            </w:r>
            <w:r>
              <w:rPr>
                <w:rFonts w:hint="eastAsia" w:ascii="仿宋_GB2312" w:hAnsi="仿宋_GB2312" w:eastAsia="仿宋_GB2312" w:cs="仿宋_GB2312"/>
                <w:b/>
                <w:bCs/>
                <w:color w:val="auto"/>
                <w:sz w:val="24"/>
                <w:highlight w:val="none"/>
                <w:lang w:val="en-US" w:eastAsia="zh-CN"/>
              </w:rPr>
              <w:t>竞争性谈判文件</w:t>
            </w:r>
            <w:r>
              <w:rPr>
                <w:rFonts w:hint="eastAsia" w:ascii="仿宋_GB2312" w:hAnsi="仿宋_GB2312" w:eastAsia="仿宋_GB2312" w:cs="仿宋_GB2312"/>
                <w:color w:val="auto"/>
                <w:sz w:val="24"/>
                <w:highlight w:val="none"/>
                <w:lang w:val="en-US" w:eastAsia="zh-CN"/>
              </w:rPr>
              <w:t>文件</w:t>
            </w:r>
            <w:r>
              <w:rPr>
                <w:rFonts w:hint="eastAsia" w:ascii="仿宋_GB2312" w:hAnsi="仿宋_GB2312" w:eastAsia="仿宋_GB2312" w:cs="仿宋_GB2312"/>
                <w:bCs/>
                <w:color w:val="auto"/>
                <w:sz w:val="24"/>
                <w:highlight w:val="none"/>
              </w:rPr>
              <w:t>规定的时间释义</w:t>
            </w:r>
          </w:p>
        </w:tc>
        <w:tc>
          <w:tcPr>
            <w:tcW w:w="6662" w:type="dxa"/>
            <w:vAlign w:val="center"/>
          </w:tcPr>
          <w:p w14:paraId="61EDAA3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本项目</w:t>
            </w:r>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bCs/>
                <w:color w:val="auto"/>
                <w:sz w:val="24"/>
                <w:highlight w:val="none"/>
              </w:rPr>
              <w:t>文件中规定的时间均以北京时间为准。</w:t>
            </w:r>
          </w:p>
        </w:tc>
      </w:tr>
      <w:tr w14:paraId="1949B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F1511DD">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w:t>
            </w:r>
          </w:p>
        </w:tc>
        <w:tc>
          <w:tcPr>
            <w:tcW w:w="2392" w:type="dxa"/>
            <w:vAlign w:val="center"/>
          </w:tcPr>
          <w:p w14:paraId="56B5A6C6">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参与</w:t>
            </w:r>
            <w:r>
              <w:rPr>
                <w:rFonts w:hint="eastAsia" w:ascii="仿宋_GB2312" w:hAnsi="仿宋_GB2312" w:eastAsia="仿宋_GB2312" w:cs="仿宋_GB2312"/>
                <w:color w:val="auto"/>
                <w:sz w:val="24"/>
                <w:highlight w:val="none"/>
                <w:lang w:val="en-US" w:eastAsia="zh-CN"/>
              </w:rPr>
              <w:t>竞争性谈判活动</w:t>
            </w:r>
            <w:r>
              <w:rPr>
                <w:rFonts w:hint="eastAsia" w:ascii="仿宋_GB2312" w:hAnsi="仿宋_GB2312" w:eastAsia="仿宋_GB2312" w:cs="仿宋_GB2312"/>
                <w:bCs/>
                <w:color w:val="auto"/>
                <w:sz w:val="24"/>
                <w:highlight w:val="none"/>
              </w:rPr>
              <w:t>保证金</w:t>
            </w:r>
          </w:p>
        </w:tc>
        <w:tc>
          <w:tcPr>
            <w:tcW w:w="6662" w:type="dxa"/>
            <w:vAlign w:val="center"/>
          </w:tcPr>
          <w:p w14:paraId="2B68CA29">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本项目不作要求。</w:t>
            </w:r>
          </w:p>
        </w:tc>
      </w:tr>
      <w:tr w14:paraId="22B80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244AD62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2392" w:type="dxa"/>
            <w:vAlign w:val="center"/>
          </w:tcPr>
          <w:p w14:paraId="295445D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案件情况</w:t>
            </w:r>
          </w:p>
        </w:tc>
        <w:tc>
          <w:tcPr>
            <w:tcW w:w="6662" w:type="dxa"/>
            <w:vAlign w:val="center"/>
          </w:tcPr>
          <w:p w14:paraId="1BDA34A5">
            <w:pPr>
              <w:spacing w:line="46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鉴于本案性质为买卖合同纠纷，涉案金额较大，情况复杂，请在</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xx</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xx</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xx</w:t>
            </w:r>
            <w:r>
              <w:rPr>
                <w:rFonts w:hint="eastAsia" w:ascii="仿宋_GB2312" w:hAnsi="仿宋_GB2312" w:eastAsia="仿宋_GB2312" w:cs="仿宋_GB2312"/>
                <w:color w:val="auto"/>
                <w:sz w:val="24"/>
                <w:highlight w:val="none"/>
              </w:rPr>
              <w:t>前，将</w:t>
            </w:r>
            <w:r>
              <w:rPr>
                <w:rFonts w:hint="eastAsia" w:ascii="仿宋_GB2312" w:hAnsi="仿宋_GB2312" w:eastAsia="仿宋_GB2312" w:cs="仿宋_GB2312"/>
                <w:color w:val="auto"/>
                <w:sz w:val="24"/>
                <w:highlight w:val="none"/>
                <w:lang w:val="en-US" w:eastAsia="zh-CN"/>
              </w:rPr>
              <w:t>第四章四点“竞争性谈判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人的资格要求证明材料承诺函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反馈至</w:t>
            </w:r>
            <w:r>
              <w:rPr>
                <w:rFonts w:hint="eastAsia" w:ascii="仿宋_GB2312" w:hAnsi="仿宋_GB2312" w:eastAsia="仿宋_GB2312" w:cs="仿宋_GB2312"/>
                <w:color w:val="auto"/>
                <w:sz w:val="24"/>
                <w:highlight w:val="none"/>
                <w:lang w:val="en-US" w:eastAsia="zh-CN"/>
              </w:rPr>
              <w:t>邀请人</w:t>
            </w:r>
            <w:r>
              <w:rPr>
                <w:rFonts w:hint="eastAsia" w:ascii="仿宋_GB2312" w:hAnsi="仿宋_GB2312" w:eastAsia="仿宋_GB2312" w:cs="仿宋_GB2312"/>
                <w:color w:val="auto"/>
                <w:sz w:val="24"/>
                <w:highlight w:val="none"/>
              </w:rPr>
              <w:t>。该承诺函需加盖</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人</w:t>
            </w:r>
            <w:r>
              <w:rPr>
                <w:rFonts w:hint="eastAsia" w:ascii="仿宋_GB2312" w:hAnsi="仿宋_GB2312" w:eastAsia="仿宋_GB2312" w:cs="仿宋_GB2312"/>
                <w:color w:val="auto"/>
                <w:sz w:val="24"/>
                <w:highlight w:val="none"/>
              </w:rPr>
              <w:t>公章，并由法定代表人或授权代表签字，</w:t>
            </w:r>
            <w:r>
              <w:rPr>
                <w:rFonts w:hint="eastAsia" w:ascii="仿宋_GB2312" w:hAnsi="仿宋_GB2312" w:eastAsia="仿宋_GB2312" w:cs="仿宋_GB2312"/>
                <w:color w:val="auto"/>
                <w:sz w:val="24"/>
                <w:highlight w:val="none"/>
                <w:lang w:val="en-US" w:eastAsia="zh-CN"/>
              </w:rPr>
              <w:t>以邮件的形式将扫描件及联系方式发送至邮箱15828331774@163.com</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并将原件附在响应文件中，</w:t>
            </w:r>
            <w:r>
              <w:rPr>
                <w:rFonts w:hint="eastAsia" w:ascii="仿宋_GB2312" w:hAnsi="仿宋_GB2312" w:eastAsia="仿宋_GB2312" w:cs="仿宋_GB2312"/>
                <w:color w:val="auto"/>
                <w:sz w:val="24"/>
                <w:highlight w:val="none"/>
              </w:rPr>
              <w:t>以确保案件信息的保密性和安全性。</w:t>
            </w:r>
          </w:p>
          <w:p w14:paraId="38E27E11">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在收到</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人</w:t>
            </w:r>
            <w:r>
              <w:rPr>
                <w:rFonts w:hint="eastAsia" w:ascii="仿宋_GB2312" w:hAnsi="仿宋_GB2312" w:eastAsia="仿宋_GB2312" w:cs="仿宋_GB2312"/>
                <w:color w:val="auto"/>
                <w:sz w:val="24"/>
                <w:highlight w:val="none"/>
              </w:rPr>
              <w:t>签署的承诺函后，</w:t>
            </w:r>
            <w:r>
              <w:rPr>
                <w:rFonts w:hint="eastAsia" w:ascii="仿宋_GB2312" w:hAnsi="仿宋_GB2312" w:eastAsia="仿宋_GB2312" w:cs="仿宋_GB2312"/>
                <w:color w:val="auto"/>
                <w:sz w:val="24"/>
                <w:highlight w:val="none"/>
                <w:lang w:val="en-US" w:eastAsia="zh-CN"/>
              </w:rPr>
              <w:t>邀请人</w:t>
            </w:r>
            <w:r>
              <w:rPr>
                <w:rFonts w:hint="eastAsia" w:ascii="仿宋_GB2312" w:hAnsi="仿宋_GB2312" w:eastAsia="仿宋_GB2312" w:cs="仿宋_GB2312"/>
                <w:color w:val="auto"/>
                <w:sz w:val="24"/>
                <w:highlight w:val="none"/>
              </w:rPr>
              <w:t>将向</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人</w:t>
            </w:r>
            <w:r>
              <w:rPr>
                <w:rFonts w:hint="eastAsia" w:ascii="仿宋_GB2312" w:hAnsi="仿宋_GB2312" w:eastAsia="仿宋_GB2312" w:cs="仿宋_GB2312"/>
                <w:color w:val="auto"/>
                <w:sz w:val="24"/>
                <w:highlight w:val="none"/>
              </w:rPr>
              <w:t>提供详细的案件材料，以便</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人</w:t>
            </w:r>
            <w:r>
              <w:rPr>
                <w:rFonts w:hint="eastAsia" w:ascii="仿宋_GB2312" w:hAnsi="仿宋_GB2312" w:eastAsia="仿宋_GB2312" w:cs="仿宋_GB2312"/>
                <w:color w:val="auto"/>
                <w:sz w:val="24"/>
                <w:highlight w:val="none"/>
              </w:rPr>
              <w:t>深入研究分析。同时，为方便</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人</w:t>
            </w:r>
            <w:r>
              <w:rPr>
                <w:rFonts w:hint="eastAsia" w:ascii="仿宋_GB2312" w:hAnsi="仿宋_GB2312" w:eastAsia="仿宋_GB2312" w:cs="仿宋_GB2312"/>
                <w:color w:val="auto"/>
                <w:sz w:val="24"/>
                <w:highlight w:val="none"/>
              </w:rPr>
              <w:t>进一步了解案件情况，也可</w:t>
            </w:r>
            <w:r>
              <w:rPr>
                <w:rFonts w:hint="eastAsia" w:ascii="仿宋_GB2312" w:hAnsi="仿宋_GB2312" w:eastAsia="仿宋_GB2312" w:cs="仿宋_GB2312"/>
                <w:color w:val="auto"/>
                <w:sz w:val="24"/>
                <w:highlight w:val="none"/>
                <w:lang w:val="en-US" w:eastAsia="zh-CN"/>
              </w:rPr>
              <w:t>与邀请人联系，</w:t>
            </w:r>
            <w:r>
              <w:rPr>
                <w:rFonts w:hint="eastAsia" w:ascii="仿宋_GB2312" w:hAnsi="仿宋_GB2312" w:eastAsia="仿宋_GB2312" w:cs="仿宋_GB2312"/>
                <w:color w:val="auto"/>
                <w:sz w:val="24"/>
                <w:highlight w:val="none"/>
              </w:rPr>
              <w:t>安排相关律师前往</w:t>
            </w:r>
            <w:r>
              <w:rPr>
                <w:rFonts w:hint="eastAsia" w:ascii="仿宋_GB2312" w:hAnsi="仿宋_GB2312" w:eastAsia="仿宋_GB2312" w:cs="仿宋_GB2312"/>
                <w:color w:val="auto"/>
                <w:sz w:val="24"/>
                <w:highlight w:val="none"/>
                <w:lang w:val="en-US" w:eastAsia="zh-CN"/>
              </w:rPr>
              <w:t>邀请人公司</w:t>
            </w:r>
            <w:r>
              <w:rPr>
                <w:rFonts w:hint="eastAsia" w:ascii="仿宋_GB2312" w:hAnsi="仿宋_GB2312" w:eastAsia="仿宋_GB2312" w:cs="仿宋_GB2312"/>
                <w:color w:val="auto"/>
                <w:sz w:val="24"/>
                <w:highlight w:val="none"/>
              </w:rPr>
              <w:t>现场查阅案件材料。</w:t>
            </w:r>
          </w:p>
        </w:tc>
      </w:tr>
      <w:tr w14:paraId="0B78F3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138D0581">
            <w:pPr>
              <w:spacing w:line="460" w:lineRule="exact"/>
              <w:jc w:val="center"/>
              <w:rPr>
                <w:rFonts w:hint="default" w:ascii="仿宋_GB2312" w:hAnsi="仿宋_GB2312" w:eastAsia="仿宋_GB2312" w:cs="仿宋_GB2312"/>
                <w:color w:val="auto"/>
                <w:sz w:val="24"/>
                <w:highlight w:val="none"/>
                <w:lang w:val="en-US" w:eastAsia="zh-CN"/>
              </w:rPr>
            </w:pPr>
            <w:bookmarkStart w:id="49" w:name="_Toc10423"/>
            <w:bookmarkStart w:id="50" w:name="_Toc29260"/>
            <w:bookmarkStart w:id="51" w:name="_Toc26013"/>
            <w:r>
              <w:rPr>
                <w:rFonts w:hint="eastAsia" w:ascii="仿宋_GB2312" w:hAnsi="仿宋_GB2312" w:eastAsia="仿宋_GB2312" w:cs="仿宋_GB2312"/>
                <w:color w:val="auto"/>
                <w:sz w:val="24"/>
                <w:highlight w:val="none"/>
                <w:lang w:val="en-US" w:eastAsia="zh-CN"/>
              </w:rPr>
              <w:t>12</w:t>
            </w:r>
          </w:p>
        </w:tc>
        <w:tc>
          <w:tcPr>
            <w:tcW w:w="2392" w:type="dxa"/>
            <w:vAlign w:val="center"/>
          </w:tcPr>
          <w:p w14:paraId="6D25BDE6">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报价有效期</w:t>
            </w:r>
          </w:p>
        </w:tc>
        <w:tc>
          <w:tcPr>
            <w:tcW w:w="6662" w:type="dxa"/>
            <w:vAlign w:val="center"/>
          </w:tcPr>
          <w:p w14:paraId="64B2C8A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报价截止之日起</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w:t>
            </w:r>
          </w:p>
        </w:tc>
      </w:tr>
      <w:tr w14:paraId="0E6C5B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01F47A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2392" w:type="dxa"/>
            <w:vAlign w:val="center"/>
          </w:tcPr>
          <w:p w14:paraId="5090289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签字盖章</w:t>
            </w:r>
          </w:p>
        </w:tc>
        <w:tc>
          <w:tcPr>
            <w:tcW w:w="6662" w:type="dxa"/>
            <w:vAlign w:val="center"/>
          </w:tcPr>
          <w:p w14:paraId="7B8BE38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w:t>
            </w:r>
            <w:r>
              <w:rPr>
                <w:rFonts w:hint="eastAsia" w:ascii="仿宋_GB2312" w:hAnsi="仿宋_GB2312" w:eastAsia="仿宋_GB2312" w:cs="仿宋_GB2312"/>
                <w:color w:val="auto"/>
                <w:sz w:val="24"/>
                <w:highlight w:val="none"/>
                <w:lang w:val="en-US" w:eastAsia="zh-CN"/>
              </w:rPr>
              <w:t>人</w:t>
            </w:r>
            <w:r>
              <w:rPr>
                <w:rFonts w:hint="eastAsia" w:ascii="仿宋_GB2312" w:hAnsi="仿宋_GB2312" w:eastAsia="仿宋_GB2312" w:cs="仿宋_GB2312"/>
                <w:color w:val="auto"/>
                <w:sz w:val="24"/>
                <w:highlight w:val="none"/>
              </w:rPr>
              <w:t>必须按照采购文件的规定和要求签字、盖章。</w:t>
            </w:r>
          </w:p>
        </w:tc>
      </w:tr>
      <w:tr w14:paraId="69F54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7548733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2392" w:type="dxa"/>
            <w:vAlign w:val="center"/>
          </w:tcPr>
          <w:p w14:paraId="0C0E7D5A">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文件的装订</w:t>
            </w:r>
          </w:p>
        </w:tc>
        <w:tc>
          <w:tcPr>
            <w:tcW w:w="6662" w:type="dxa"/>
            <w:vAlign w:val="center"/>
          </w:tcPr>
          <w:p w14:paraId="6E2276D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一份正本和一份副本分别装订。</w:t>
            </w:r>
          </w:p>
        </w:tc>
      </w:tr>
      <w:tr w14:paraId="494F9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6D74FA3">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5</w:t>
            </w:r>
          </w:p>
        </w:tc>
        <w:tc>
          <w:tcPr>
            <w:tcW w:w="2392" w:type="dxa"/>
            <w:vAlign w:val="center"/>
          </w:tcPr>
          <w:p w14:paraId="49B339D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文件封面的标注</w:t>
            </w:r>
          </w:p>
        </w:tc>
        <w:tc>
          <w:tcPr>
            <w:tcW w:w="6662" w:type="dxa"/>
            <w:vAlign w:val="center"/>
          </w:tcPr>
          <w:p w14:paraId="2460DD8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响应文件正本和副本的封面上均应标明：</w:t>
            </w:r>
            <w:r>
              <w:rPr>
                <w:rFonts w:hint="eastAsia" w:ascii="仿宋_GB2312" w:hAnsi="仿宋_GB2312" w:eastAsia="仿宋_GB2312" w:cs="仿宋_GB2312"/>
                <w:color w:val="auto"/>
                <w:sz w:val="24"/>
                <w:highlight w:val="none"/>
                <w:lang w:val="en-US" w:eastAsia="zh-CN"/>
              </w:rPr>
              <w:t>项目编号、</w:t>
            </w:r>
            <w:r>
              <w:rPr>
                <w:rFonts w:hint="eastAsia" w:ascii="仿宋_GB2312" w:hAnsi="仿宋_GB2312" w:eastAsia="仿宋_GB2312" w:cs="仿宋_GB2312"/>
                <w:color w:val="auto"/>
                <w:sz w:val="24"/>
                <w:highlight w:val="none"/>
              </w:rPr>
              <w:t>采购项目名称、申请人名称、年月日；并分别在右上角标明“正本”和“副本”字样。</w:t>
            </w:r>
          </w:p>
        </w:tc>
      </w:tr>
      <w:tr w14:paraId="21F12E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2C21B13">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6</w:t>
            </w:r>
          </w:p>
        </w:tc>
        <w:tc>
          <w:tcPr>
            <w:tcW w:w="2392" w:type="dxa"/>
            <w:vAlign w:val="center"/>
          </w:tcPr>
          <w:p w14:paraId="623725B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文件文件外层密封袋的标注</w:t>
            </w:r>
          </w:p>
        </w:tc>
        <w:tc>
          <w:tcPr>
            <w:tcW w:w="6662" w:type="dxa"/>
            <w:vAlign w:val="center"/>
          </w:tcPr>
          <w:p w14:paraId="74A82209">
            <w:pPr>
              <w:widowControl w:val="0"/>
              <w:spacing w:line="4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项目编号、采购项目名称、申请人名称、响应时间，密封袋背面应贴上密封条并注明“开标前不得开启”字样</w:t>
            </w:r>
          </w:p>
        </w:tc>
      </w:tr>
      <w:tr w14:paraId="6D6E1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E00BA2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7</w:t>
            </w:r>
          </w:p>
        </w:tc>
        <w:tc>
          <w:tcPr>
            <w:tcW w:w="2392" w:type="dxa"/>
            <w:vAlign w:val="center"/>
          </w:tcPr>
          <w:p w14:paraId="143ECD5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递交</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文件地点</w:t>
            </w:r>
          </w:p>
        </w:tc>
        <w:tc>
          <w:tcPr>
            <w:tcW w:w="6662" w:type="dxa"/>
            <w:vAlign w:val="center"/>
          </w:tcPr>
          <w:p w14:paraId="720E356C">
            <w:pPr>
              <w:spacing w:line="460" w:lineRule="exact"/>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rPr>
              <w:t>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default" w:ascii="仿宋_GB2312" w:hAnsi="仿宋_GB2312" w:eastAsia="仿宋_GB2312" w:cs="仿宋_GB2312"/>
                <w:color w:val="auto"/>
                <w:sz w:val="24"/>
                <w:highlight w:val="none"/>
              </w:rPr>
              <w:t>楼</w:t>
            </w:r>
          </w:p>
        </w:tc>
      </w:tr>
      <w:tr w14:paraId="06E7A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2FFE40D">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8</w:t>
            </w:r>
          </w:p>
        </w:tc>
        <w:tc>
          <w:tcPr>
            <w:tcW w:w="2392" w:type="dxa"/>
            <w:vAlign w:val="center"/>
          </w:tcPr>
          <w:p w14:paraId="26381A3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评审时间和地点</w:t>
            </w:r>
          </w:p>
        </w:tc>
        <w:tc>
          <w:tcPr>
            <w:tcW w:w="6662" w:type="dxa"/>
            <w:vAlign w:val="center"/>
          </w:tcPr>
          <w:p w14:paraId="514A135D">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评审时间：同报价截止时间；</w:t>
            </w:r>
          </w:p>
          <w:p w14:paraId="37849662">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评审地点：同递交</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文件地点。</w:t>
            </w:r>
          </w:p>
        </w:tc>
      </w:tr>
      <w:tr w14:paraId="78D647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F73A1C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9</w:t>
            </w:r>
          </w:p>
        </w:tc>
        <w:tc>
          <w:tcPr>
            <w:tcW w:w="2392" w:type="dxa"/>
            <w:vAlign w:val="center"/>
          </w:tcPr>
          <w:p w14:paraId="1042261B">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付款方式</w:t>
            </w:r>
          </w:p>
        </w:tc>
        <w:tc>
          <w:tcPr>
            <w:tcW w:w="6662" w:type="dxa"/>
            <w:vAlign w:val="center"/>
          </w:tcPr>
          <w:p w14:paraId="363A2B02">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风险代理费按照邀请人收到案件本金、利息、违约金等比例支付。比选人收到的案件回款均认定为“先本后息”。</w:t>
            </w:r>
          </w:p>
        </w:tc>
      </w:tr>
    </w:tbl>
    <w:p w14:paraId="1F703BEB">
      <w:pPr>
        <w:spacing w:before="240" w:after="60" w:line="460" w:lineRule="exact"/>
        <w:outlineLvl w:val="1"/>
        <w:rPr>
          <w:rFonts w:hint="eastAsia" w:ascii="仿宋_GB2312" w:hAnsi="仿宋_GB2312" w:eastAsia="仿宋_GB2312" w:cs="仿宋_GB2312"/>
          <w:b/>
          <w:color w:val="auto"/>
          <w:sz w:val="24"/>
          <w:highlight w:val="none"/>
        </w:rPr>
      </w:pPr>
      <w:bookmarkStart w:id="52" w:name="_Toc30748"/>
      <w:bookmarkStart w:id="53" w:name="_Toc23806"/>
      <w:bookmarkStart w:id="54" w:name="_Toc7226"/>
    </w:p>
    <w:bookmarkEnd w:id="49"/>
    <w:bookmarkEnd w:id="50"/>
    <w:bookmarkEnd w:id="51"/>
    <w:bookmarkEnd w:id="52"/>
    <w:bookmarkEnd w:id="53"/>
    <w:bookmarkEnd w:id="54"/>
    <w:p w14:paraId="5A1CC1B3">
      <w:pPr>
        <w:rPr>
          <w:rFonts w:ascii="仿宋_GB2312" w:hAnsi="仿宋_GB2312" w:eastAsia="仿宋_GB2312" w:cs="仿宋_GB2312"/>
          <w:b/>
          <w:bCs/>
          <w:color w:val="auto"/>
          <w:sz w:val="32"/>
          <w:szCs w:val="32"/>
          <w:highlight w:val="none"/>
        </w:rPr>
      </w:pPr>
      <w:bookmarkStart w:id="55" w:name="_Toc31275"/>
      <w:bookmarkStart w:id="56" w:name="_Toc21638"/>
      <w:bookmarkStart w:id="57" w:name="_Toc3622"/>
      <w:bookmarkStart w:id="58" w:name="_Toc19085"/>
      <w:bookmarkStart w:id="59" w:name="_Toc17862"/>
      <w:bookmarkStart w:id="60" w:name="_Toc12575"/>
      <w:bookmarkStart w:id="61" w:name="_Toc7013"/>
      <w:bookmarkStart w:id="62" w:name="_Toc16770"/>
      <w:bookmarkStart w:id="63" w:name="_Toc21644"/>
      <w:bookmarkStart w:id="64" w:name="_Toc24237"/>
      <w:bookmarkStart w:id="65" w:name="_Toc5478"/>
      <w:r>
        <w:rPr>
          <w:rFonts w:hint="eastAsia" w:ascii="仿宋_GB2312" w:hAnsi="仿宋_GB2312" w:eastAsia="仿宋_GB2312" w:cs="仿宋_GB2312"/>
          <w:b/>
          <w:bCs/>
          <w:color w:val="auto"/>
          <w:sz w:val="32"/>
          <w:szCs w:val="32"/>
          <w:highlight w:val="none"/>
        </w:rPr>
        <w:br w:type="page"/>
      </w:r>
    </w:p>
    <w:p w14:paraId="67613A11">
      <w:pPr>
        <w:spacing w:line="460" w:lineRule="exact"/>
        <w:ind w:firstLine="643"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32"/>
          <w:szCs w:val="32"/>
          <w:highlight w:val="none"/>
        </w:rPr>
        <w:t xml:space="preserve">第三章 </w:t>
      </w:r>
      <w:r>
        <w:rPr>
          <w:rFonts w:hint="eastAsia" w:ascii="仿宋_GB2312" w:hAnsi="仿宋_GB2312" w:eastAsia="仿宋_GB2312" w:cs="仿宋_GB2312"/>
          <w:b/>
          <w:bCs/>
          <w:color w:val="auto"/>
          <w:sz w:val="32"/>
          <w:szCs w:val="32"/>
          <w:highlight w:val="none"/>
          <w:lang w:val="en-US" w:eastAsia="zh-CN"/>
        </w:rPr>
        <w:t>竞争性谈判申请人</w:t>
      </w:r>
      <w:r>
        <w:rPr>
          <w:rFonts w:hint="eastAsia" w:ascii="仿宋_GB2312" w:hAnsi="仿宋_GB2312" w:eastAsia="仿宋_GB2312" w:cs="仿宋_GB2312"/>
          <w:b/>
          <w:bCs/>
          <w:color w:val="auto"/>
          <w:sz w:val="32"/>
          <w:szCs w:val="32"/>
          <w:highlight w:val="none"/>
        </w:rPr>
        <w:t>的资格要求证明材料</w:t>
      </w:r>
      <w:bookmarkEnd w:id="55"/>
      <w:bookmarkEnd w:id="56"/>
      <w:bookmarkEnd w:id="57"/>
      <w:bookmarkEnd w:id="58"/>
      <w:bookmarkEnd w:id="59"/>
      <w:bookmarkEnd w:id="60"/>
      <w:bookmarkEnd w:id="61"/>
      <w:bookmarkEnd w:id="62"/>
      <w:bookmarkEnd w:id="63"/>
      <w:bookmarkEnd w:id="64"/>
      <w:bookmarkEnd w:id="65"/>
    </w:p>
    <w:p w14:paraId="6FF8994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一、依法在中华人民共和国境内设立的律师事务所，持有合法有效律师事务所执业许可证，以及国家法律法规要求的相关从业资质；如分所或分支机构参加比选的，分所或分支机构须获得总所唯一授权；</w:t>
      </w:r>
    </w:p>
    <w:p w14:paraId="716A99DF">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color w:val="auto"/>
          <w:sz w:val="24"/>
          <w:highlight w:val="none"/>
        </w:rPr>
        <w:t>提供年检合格的律师事务所执业许可证，不具备执业许可证的组织机构，提供行政主管部门颁发的有效证书（证明文件），如法人登记证书等。</w:t>
      </w:r>
    </w:p>
    <w:p w14:paraId="32E4BC30">
      <w:pPr>
        <w:spacing w:line="460" w:lineRule="exact"/>
        <w:ind w:firstLine="482"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证明材料2：</w:t>
      </w:r>
      <w:r>
        <w:rPr>
          <w:rFonts w:hint="eastAsia" w:ascii="仿宋_GB2312" w:hAnsi="仿宋_GB2312" w:eastAsia="仿宋_GB2312" w:cs="仿宋_GB2312"/>
          <w:color w:val="auto"/>
          <w:sz w:val="24"/>
          <w:highlight w:val="none"/>
        </w:rPr>
        <w:t>提供总所的业务许可证复印件，可以一次授权或总体授权，同一个事务所的多家分支机构不可同时参加比选。</w:t>
      </w:r>
    </w:p>
    <w:p w14:paraId="621D5584">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二、人员要求：，</w:t>
      </w:r>
      <w:r>
        <w:rPr>
          <w:rFonts w:hint="eastAsia" w:ascii="仿宋_GB2312" w:hAnsi="仿宋_GB2312" w:eastAsia="仿宋_GB2312" w:cs="仿宋_GB2312"/>
          <w:bCs/>
          <w:color w:val="auto"/>
          <w:sz w:val="24"/>
          <w:highlight w:val="none"/>
          <w:lang w:val="en-US" w:eastAsia="zh-CN"/>
        </w:rPr>
        <w:t>能在四川省内提供本地化服务，</w:t>
      </w:r>
      <w:r>
        <w:rPr>
          <w:rFonts w:hint="eastAsia" w:ascii="仿宋_GB2312" w:hAnsi="仿宋_GB2312" w:eastAsia="仿宋_GB2312" w:cs="仿宋_GB2312"/>
          <w:bCs/>
          <w:color w:val="auto"/>
          <w:sz w:val="24"/>
          <w:highlight w:val="none"/>
        </w:rPr>
        <w:t>能够组建相对固定且不少于3人的律师团队，</w:t>
      </w:r>
      <w:r>
        <w:rPr>
          <w:rFonts w:hint="eastAsia" w:ascii="仿宋_GB2312" w:hAnsi="仿宋_GB2312" w:eastAsia="仿宋_GB2312" w:cs="仿宋_GB2312"/>
          <w:color w:val="auto"/>
          <w:sz w:val="24"/>
          <w:highlight w:val="none"/>
        </w:rPr>
        <w:t>律师应具有司法行政主管部门颁发的《律师执业证》，执业时间3年以上，合法有效且年检合格。</w:t>
      </w:r>
    </w:p>
    <w:p w14:paraId="148EDC46">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bCs/>
          <w:color w:val="auto"/>
          <w:sz w:val="24"/>
          <w:highlight w:val="none"/>
        </w:rPr>
        <w:t>提供证明文件。</w:t>
      </w:r>
    </w:p>
    <w:p w14:paraId="16A171FF">
      <w:pPr>
        <w:spacing w:line="460" w:lineRule="exact"/>
        <w:ind w:firstLine="482" w:firstLineChars="200"/>
        <w:rPr>
          <w:rFonts w:ascii="Calibri" w:hAnsi="Calibri"/>
          <w:color w:val="auto"/>
          <w:highlight w:val="none"/>
        </w:rPr>
      </w:pPr>
      <w:r>
        <w:rPr>
          <w:rFonts w:hint="eastAsia" w:ascii="仿宋_GB2312" w:hAnsi="仿宋_GB2312" w:eastAsia="仿宋_GB2312" w:cs="仿宋_GB2312"/>
          <w:b/>
          <w:color w:val="auto"/>
          <w:sz w:val="24"/>
          <w:highlight w:val="none"/>
          <w:lang w:val="en-US" w:eastAsia="zh-CN"/>
        </w:rPr>
        <w:t>证明材料2：</w:t>
      </w:r>
      <w:r>
        <w:rPr>
          <w:rFonts w:hint="eastAsia" w:ascii="仿宋_GB2312" w:hAnsi="仿宋_GB2312" w:eastAsia="仿宋_GB2312" w:cs="仿宋_GB2312"/>
          <w:b w:val="0"/>
          <w:bCs/>
          <w:color w:val="auto"/>
          <w:sz w:val="24"/>
          <w:highlight w:val="none"/>
        </w:rPr>
        <w:t>提供</w:t>
      </w:r>
      <w:r>
        <w:rPr>
          <w:rFonts w:hint="eastAsia" w:ascii="仿宋_GB2312" w:hAnsi="仿宋_GB2312" w:eastAsia="仿宋_GB2312" w:cs="仿宋_GB2312"/>
          <w:bCs/>
          <w:color w:val="auto"/>
          <w:sz w:val="24"/>
          <w:highlight w:val="none"/>
        </w:rPr>
        <w:t>法律顾问团队的具体情况，包含团队负责人及主要成员的基本信息等。</w:t>
      </w:r>
    </w:p>
    <w:p w14:paraId="057A2932">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三、信誉要求：</w:t>
      </w:r>
      <w:r>
        <w:rPr>
          <w:rFonts w:hint="eastAsia" w:ascii="仿宋_GB2312" w:hAnsi="仿宋_GB2312" w:eastAsia="仿宋_GB2312" w:cs="仿宋_GB2312"/>
          <w:color w:val="auto"/>
          <w:sz w:val="24"/>
          <w:highlight w:val="none"/>
        </w:rPr>
        <w:t>信誉良好，</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申请人及其执业律师最近3年内未受到司法行政部门的</w:t>
      </w:r>
      <w:r>
        <w:rPr>
          <w:rFonts w:hint="eastAsia" w:ascii="仿宋_GB2312" w:hAnsi="仿宋_GB2312" w:eastAsia="仿宋_GB2312" w:cs="仿宋_GB2312"/>
          <w:color w:val="auto"/>
          <w:sz w:val="24"/>
          <w:highlight w:val="none"/>
          <w:lang w:eastAsia="zh-CN"/>
        </w:rPr>
        <w:t>行政处罚</w:t>
      </w:r>
      <w:r>
        <w:rPr>
          <w:rFonts w:hint="eastAsia" w:ascii="仿宋_GB2312" w:hAnsi="仿宋_GB2312" w:eastAsia="仿宋_GB2312" w:cs="仿宋_GB2312"/>
          <w:color w:val="auto"/>
          <w:sz w:val="24"/>
          <w:highlight w:val="none"/>
        </w:rPr>
        <w:t>和律师协会的行业处分，最近3年内提供的法律服务未因重大执业质量等问题受到省国资委的通报</w:t>
      </w:r>
      <w:r>
        <w:rPr>
          <w:rFonts w:hint="eastAsia" w:ascii="仿宋_GB2312" w:hAnsi="仿宋_GB2312" w:eastAsia="仿宋_GB2312" w:cs="仿宋_GB2312"/>
          <w:bCs/>
          <w:color w:val="auto"/>
          <w:sz w:val="24"/>
          <w:highlight w:val="none"/>
        </w:rPr>
        <w:t>；</w:t>
      </w:r>
    </w:p>
    <w:p w14:paraId="61A13B4C">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bCs/>
          <w:color w:val="auto"/>
          <w:sz w:val="24"/>
          <w:highlight w:val="none"/>
        </w:rPr>
        <w:t>相关网站查询截图。</w:t>
      </w:r>
    </w:p>
    <w:p w14:paraId="26ECBB8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四、财务要求：</w:t>
      </w:r>
      <w:r>
        <w:rPr>
          <w:rFonts w:hint="eastAsia" w:ascii="仿宋_GB2312" w:hAnsi="仿宋_GB2312" w:eastAsia="仿宋_GB2312" w:cs="仿宋_GB2312"/>
          <w:color w:val="auto"/>
          <w:sz w:val="24"/>
          <w:highlight w:val="none"/>
        </w:rPr>
        <w:t>财务状况良好，近年财务报表无亏损；</w:t>
      </w:r>
    </w:p>
    <w:p w14:paraId="529E3878">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color w:val="auto"/>
          <w:sz w:val="24"/>
          <w:highlight w:val="none"/>
        </w:rPr>
        <w:t>提供</w:t>
      </w:r>
      <w:r>
        <w:rPr>
          <w:rFonts w:hint="eastAsia" w:ascii="仿宋_GB2312" w:hAnsi="仿宋_GB2312" w:eastAsia="仿宋_GB2312" w:cs="仿宋_GB2312"/>
          <w:color w:val="auto"/>
          <w:sz w:val="24"/>
          <w:highlight w:val="none"/>
          <w:lang w:val="en-US" w:eastAsia="zh-CN"/>
        </w:rPr>
        <w:t>2023年、2024年、2025</w:t>
      </w:r>
      <w:r>
        <w:rPr>
          <w:rFonts w:hint="eastAsia" w:ascii="仿宋_GB2312" w:hAnsi="仿宋_GB2312" w:eastAsia="仿宋_GB2312" w:cs="仿宋_GB2312"/>
          <w:color w:val="auto"/>
          <w:sz w:val="24"/>
          <w:highlight w:val="none"/>
        </w:rPr>
        <w:t>年度经审计后年度财务审计报告</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若成立不足3年的，请提供所有</w:t>
      </w:r>
      <w:r>
        <w:rPr>
          <w:rFonts w:hint="eastAsia" w:ascii="仿宋_GB2312" w:hAnsi="仿宋_GB2312" w:eastAsia="仿宋_GB2312" w:cs="仿宋_GB2312"/>
          <w:color w:val="auto"/>
          <w:sz w:val="24"/>
          <w:highlight w:val="none"/>
        </w:rPr>
        <w:t>经审计后年度财务审计报告。</w:t>
      </w:r>
    </w:p>
    <w:p w14:paraId="0F1EED91">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、不得存在下列情形之一：</w:t>
      </w:r>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color w:val="auto"/>
          <w:sz w:val="24"/>
          <w:highlight w:val="none"/>
        </w:rPr>
        <w:t>日前三年内存在弄虚作假、恶意串通、营私舞弊等严重不诚信行为；</w:t>
      </w:r>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color w:val="auto"/>
          <w:sz w:val="24"/>
          <w:highlight w:val="none"/>
        </w:rPr>
        <w:t>日前两年内存在违反国家有关法律法规的行为；分别接受利益相对方委托，就同一事项提供有利益冲突的法律服务；出具虚假或重大失实的业务报告；曾违反法律服务合同约定给委托方造成重大损失；</w:t>
      </w:r>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color w:val="auto"/>
          <w:sz w:val="24"/>
          <w:highlight w:val="none"/>
        </w:rPr>
        <w:t>申请人处于被责令停业、财产被冻结、接管、破产状态。</w:t>
      </w:r>
    </w:p>
    <w:p w14:paraId="0ABFEC40">
      <w:pPr>
        <w:spacing w:line="4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证明材料：</w:t>
      </w:r>
      <w:r>
        <w:rPr>
          <w:rFonts w:hint="eastAsia" w:ascii="仿宋_GB2312" w:hAnsi="仿宋_GB2312" w:eastAsia="仿宋_GB2312" w:cs="仿宋_GB2312"/>
          <w:color w:val="auto"/>
          <w:sz w:val="24"/>
          <w:highlight w:val="none"/>
        </w:rPr>
        <w:t>提供承诺函。</w:t>
      </w:r>
    </w:p>
    <w:p w14:paraId="77A084CC">
      <w:pPr>
        <w:rPr>
          <w:rFonts w:ascii="仿宋_GB2312" w:hAnsi="仿宋_GB2312" w:eastAsia="仿宋_GB2312" w:cs="仿宋_GB2312"/>
          <w:color w:val="auto"/>
          <w:sz w:val="24"/>
          <w:highlight w:val="none"/>
        </w:rPr>
        <w:sectPr>
          <w:footerReference r:id="rId6" w:type="default"/>
          <w:pgSz w:w="11906" w:h="16838"/>
          <w:pgMar w:top="1440" w:right="1800" w:bottom="1440" w:left="1800" w:header="851" w:footer="992" w:gutter="0"/>
          <w:pgNumType w:fmt="decimal"/>
          <w:cols w:space="720" w:num="1"/>
          <w:docGrid w:type="lines" w:linePitch="312" w:charSpace="0"/>
        </w:sectPr>
      </w:pPr>
      <w:bookmarkStart w:id="66" w:name="_Toc25368"/>
      <w:bookmarkStart w:id="67" w:name="_Toc31452"/>
    </w:p>
    <w:p w14:paraId="523AFD56">
      <w:pPr>
        <w:spacing w:after="156" w:afterLines="50" w:line="460" w:lineRule="exact"/>
        <w:jc w:val="center"/>
        <w:rPr>
          <w:rFonts w:ascii="仿宋_GB2312" w:hAnsi="仿宋_GB2312" w:eastAsia="仿宋_GB2312" w:cs="仿宋_GB2312"/>
          <w:b/>
          <w:bCs/>
          <w:color w:val="auto"/>
          <w:sz w:val="32"/>
          <w:szCs w:val="32"/>
          <w:highlight w:val="none"/>
        </w:rPr>
      </w:pPr>
      <w:bookmarkStart w:id="68" w:name="_Toc27539"/>
      <w:bookmarkStart w:id="69" w:name="_Toc26622"/>
      <w:bookmarkStart w:id="70" w:name="_Toc302"/>
      <w:bookmarkStart w:id="71" w:name="_Toc6072"/>
      <w:bookmarkStart w:id="72" w:name="_Toc22600"/>
      <w:bookmarkStart w:id="73" w:name="_Toc2868"/>
      <w:bookmarkStart w:id="74" w:name="_Toc2113"/>
      <w:bookmarkStart w:id="75" w:name="_Toc11356"/>
      <w:bookmarkStart w:id="76" w:name="_Toc9510"/>
      <w:bookmarkStart w:id="77" w:name="_Toc21489"/>
      <w:r>
        <w:rPr>
          <w:rFonts w:hint="eastAsia" w:ascii="仿宋_GB2312" w:hAnsi="仿宋_GB2312" w:eastAsia="仿宋_GB2312" w:cs="仿宋_GB2312"/>
          <w:b/>
          <w:bCs/>
          <w:color w:val="auto"/>
          <w:sz w:val="32"/>
          <w:szCs w:val="32"/>
          <w:highlight w:val="none"/>
        </w:rPr>
        <w:t xml:space="preserve">第四章 </w:t>
      </w:r>
      <w:r>
        <w:rPr>
          <w:rFonts w:hint="eastAsia" w:ascii="仿宋_GB2312" w:hAnsi="仿宋_GB2312" w:eastAsia="仿宋_GB2312" w:cs="仿宋_GB2312"/>
          <w:b/>
          <w:bCs/>
          <w:color w:val="auto"/>
          <w:sz w:val="32"/>
          <w:szCs w:val="32"/>
          <w:highlight w:val="none"/>
          <w:lang w:val="en-US" w:eastAsia="zh-CN"/>
        </w:rPr>
        <w:t>竞争性谈判</w:t>
      </w:r>
      <w:r>
        <w:rPr>
          <w:rFonts w:hint="eastAsia" w:ascii="仿宋_GB2312" w:hAnsi="仿宋_GB2312" w:eastAsia="仿宋_GB2312" w:cs="仿宋_GB2312"/>
          <w:b/>
          <w:bCs/>
          <w:color w:val="auto"/>
          <w:sz w:val="32"/>
          <w:szCs w:val="32"/>
          <w:highlight w:val="none"/>
        </w:rPr>
        <w:t>申请书格式</w:t>
      </w:r>
      <w:bookmarkEnd w:id="66"/>
      <w:bookmarkEnd w:id="67"/>
      <w:bookmarkEnd w:id="68"/>
      <w:bookmarkEnd w:id="69"/>
      <w:bookmarkEnd w:id="70"/>
      <w:bookmarkEnd w:id="71"/>
      <w:bookmarkEnd w:id="72"/>
      <w:bookmarkEnd w:id="73"/>
      <w:bookmarkEnd w:id="74"/>
      <w:bookmarkEnd w:id="75"/>
      <w:bookmarkEnd w:id="76"/>
      <w:bookmarkEnd w:id="77"/>
    </w:p>
    <w:p w14:paraId="3515FF5A">
      <w:pPr>
        <w:spacing w:line="46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说明：</w:t>
      </w:r>
    </w:p>
    <w:p w14:paraId="4B44E45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申请人在制作</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申请书时可参考本章所附格式。</w:t>
      </w:r>
    </w:p>
    <w:p w14:paraId="480E1627">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申请书应按规定签署、盖章。</w:t>
      </w:r>
    </w:p>
    <w:p w14:paraId="6C87E8B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本章所附格式大小只是范例，</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申请人可根据自己的实际情况进行调整。</w:t>
      </w:r>
    </w:p>
    <w:p w14:paraId="5F1FB9FF">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br w:type="page"/>
      </w:r>
      <w:bookmarkStart w:id="78" w:name="_Toc11259"/>
      <w:bookmarkStart w:id="79" w:name="_Toc22771"/>
      <w:bookmarkStart w:id="80" w:name="_Toc7986"/>
      <w:bookmarkStart w:id="81" w:name="_Toc24031"/>
      <w:bookmarkStart w:id="82" w:name="_Toc5206"/>
      <w:r>
        <w:rPr>
          <w:rFonts w:hint="eastAsia" w:ascii="仿宋_GB2312" w:hAnsi="仿宋_GB2312" w:eastAsia="仿宋_GB2312" w:cs="仿宋_GB2312"/>
          <w:b/>
          <w:bCs/>
          <w:color w:val="auto"/>
          <w:sz w:val="30"/>
          <w:szCs w:val="30"/>
          <w:highlight w:val="none"/>
        </w:rPr>
        <w:t>一、</w:t>
      </w:r>
      <w:r>
        <w:rPr>
          <w:rFonts w:hint="eastAsia" w:ascii="仿宋_GB2312" w:hAnsi="仿宋_GB2312" w:eastAsia="仿宋_GB2312" w:cs="仿宋_GB2312"/>
          <w:b/>
          <w:bCs/>
          <w:color w:val="auto"/>
          <w:sz w:val="32"/>
          <w:szCs w:val="32"/>
          <w:highlight w:val="none"/>
          <w:lang w:val="en-US" w:eastAsia="zh-CN"/>
        </w:rPr>
        <w:t>竞</w:t>
      </w:r>
      <w:r>
        <w:rPr>
          <w:rFonts w:hint="eastAsia" w:ascii="仿宋_GB2312" w:hAnsi="仿宋_GB2312" w:eastAsia="仿宋_GB2312" w:cs="仿宋_GB2312"/>
          <w:b/>
          <w:bCs/>
          <w:color w:val="auto"/>
          <w:sz w:val="30"/>
          <w:szCs w:val="30"/>
          <w:highlight w:val="none"/>
          <w:lang w:val="en-US" w:eastAsia="zh-CN"/>
        </w:rPr>
        <w:t>争性谈判</w:t>
      </w:r>
      <w:r>
        <w:rPr>
          <w:rFonts w:hint="eastAsia" w:ascii="仿宋_GB2312" w:hAnsi="仿宋_GB2312" w:eastAsia="仿宋_GB2312" w:cs="仿宋_GB2312"/>
          <w:b/>
          <w:bCs/>
          <w:color w:val="auto"/>
          <w:sz w:val="30"/>
          <w:szCs w:val="30"/>
          <w:highlight w:val="none"/>
        </w:rPr>
        <w:t>申请书封面</w:t>
      </w:r>
      <w:bookmarkEnd w:id="78"/>
      <w:bookmarkEnd w:id="79"/>
      <w:bookmarkEnd w:id="80"/>
      <w:bookmarkEnd w:id="81"/>
      <w:bookmarkEnd w:id="82"/>
    </w:p>
    <w:p w14:paraId="11629024">
      <w:pPr>
        <w:spacing w:line="460" w:lineRule="exact"/>
        <w:jc w:val="center"/>
        <w:rPr>
          <w:rFonts w:ascii="仿宋_GB2312" w:hAnsi="仿宋_GB2312" w:eastAsia="仿宋_GB2312" w:cs="仿宋_GB2312"/>
          <w:b/>
          <w:color w:val="auto"/>
          <w:sz w:val="24"/>
          <w:highlight w:val="none"/>
        </w:rPr>
      </w:pPr>
    </w:p>
    <w:p w14:paraId="0EF79742">
      <w:pPr>
        <w:spacing w:line="460" w:lineRule="exact"/>
        <w:jc w:val="center"/>
        <w:rPr>
          <w:rFonts w:hint="default" w:ascii="仿宋_GB2312" w:hAnsi="仿宋_GB2312" w:eastAsia="仿宋_GB2312" w:cs="仿宋_GB2312"/>
          <w:b/>
          <w:color w:val="auto"/>
          <w:sz w:val="30"/>
          <w:szCs w:val="30"/>
          <w:highlight w:val="none"/>
          <w:u w:val="single"/>
          <w:lang w:val="en-US"/>
        </w:rPr>
      </w:pPr>
      <w:r>
        <w:rPr>
          <w:rFonts w:hint="eastAsia" w:ascii="仿宋_GB2312" w:hAnsi="仿宋_GB2312" w:eastAsia="仿宋_GB2312" w:cs="仿宋_GB2312"/>
          <w:b/>
          <w:color w:val="auto"/>
          <w:sz w:val="30"/>
          <w:szCs w:val="30"/>
          <w:highlight w:val="none"/>
          <w:u w:val="single"/>
          <w:lang w:val="en-US" w:eastAsia="zh-CN"/>
        </w:rPr>
        <w:t>四川省铁产石油化工有限责任公司</w:t>
      </w:r>
    </w:p>
    <w:p w14:paraId="20F8774E">
      <w:pPr>
        <w:spacing w:line="460" w:lineRule="exact"/>
        <w:jc w:val="center"/>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30"/>
          <w:szCs w:val="30"/>
          <w:highlight w:val="none"/>
          <w:lang w:val="en-US" w:eastAsia="zh-CN"/>
        </w:rPr>
        <w:t>关于选聘某公司欠款案件专项法律服务机构</w:t>
      </w:r>
    </w:p>
    <w:p w14:paraId="68856E77">
      <w:pPr>
        <w:spacing w:line="460" w:lineRule="exact"/>
        <w:jc w:val="left"/>
        <w:rPr>
          <w:rFonts w:ascii="仿宋_GB2312" w:hAnsi="仿宋_GB2312" w:eastAsia="仿宋_GB2312" w:cs="仿宋_GB2312"/>
          <w:b/>
          <w:color w:val="auto"/>
          <w:sz w:val="24"/>
          <w:highlight w:val="none"/>
        </w:rPr>
      </w:pPr>
    </w:p>
    <w:p w14:paraId="491E7AAA">
      <w:pPr>
        <w:spacing w:line="460" w:lineRule="exact"/>
        <w:jc w:val="left"/>
        <w:rPr>
          <w:rFonts w:ascii="仿宋_GB2312" w:hAnsi="仿宋_GB2312" w:eastAsia="仿宋_GB2312" w:cs="仿宋_GB2312"/>
          <w:b/>
          <w:color w:val="auto"/>
          <w:sz w:val="24"/>
          <w:highlight w:val="none"/>
        </w:rPr>
      </w:pPr>
    </w:p>
    <w:p w14:paraId="183E01C6">
      <w:pPr>
        <w:pStyle w:val="3"/>
        <w:rPr>
          <w:color w:val="auto"/>
        </w:rPr>
      </w:pPr>
    </w:p>
    <w:p w14:paraId="0A0BFA3D">
      <w:pPr>
        <w:spacing w:line="460" w:lineRule="exact"/>
        <w:jc w:val="left"/>
        <w:rPr>
          <w:rFonts w:ascii="仿宋_GB2312" w:hAnsi="仿宋_GB2312" w:eastAsia="仿宋_GB2312" w:cs="仿宋_GB2312"/>
          <w:b/>
          <w:color w:val="auto"/>
          <w:sz w:val="24"/>
          <w:highlight w:val="none"/>
        </w:rPr>
      </w:pPr>
    </w:p>
    <w:p w14:paraId="081E1411">
      <w:pPr>
        <w:spacing w:line="460" w:lineRule="exact"/>
        <w:jc w:val="left"/>
        <w:rPr>
          <w:rFonts w:ascii="仿宋_GB2312" w:hAnsi="仿宋_GB2312" w:eastAsia="仿宋_GB2312" w:cs="仿宋_GB2312"/>
          <w:b/>
          <w:color w:val="auto"/>
          <w:sz w:val="24"/>
          <w:highlight w:val="none"/>
        </w:rPr>
      </w:pPr>
    </w:p>
    <w:p w14:paraId="6445B25F">
      <w:pPr>
        <w:spacing w:line="460" w:lineRule="exact"/>
        <w:jc w:val="center"/>
        <w:rPr>
          <w:rFonts w:ascii="仿宋_GB2312" w:hAnsi="仿宋_GB2312" w:eastAsia="仿宋_GB2312" w:cs="仿宋_GB2312"/>
          <w:b/>
          <w:color w:val="auto"/>
          <w:sz w:val="30"/>
          <w:szCs w:val="30"/>
          <w:highlight w:val="none"/>
        </w:rPr>
      </w:pPr>
      <w:bookmarkStart w:id="83" w:name="_Toc29810"/>
      <w:r>
        <w:rPr>
          <w:rFonts w:hint="eastAsia" w:ascii="仿宋_GB2312" w:hAnsi="仿宋_GB2312" w:eastAsia="仿宋_GB2312" w:cs="仿宋_GB2312"/>
          <w:b/>
          <w:color w:val="auto"/>
          <w:sz w:val="30"/>
          <w:szCs w:val="30"/>
          <w:highlight w:val="none"/>
          <w:lang w:val="en-US" w:eastAsia="zh-CN"/>
        </w:rPr>
        <w:t>竞争性谈判</w:t>
      </w:r>
      <w:r>
        <w:rPr>
          <w:rFonts w:hint="eastAsia" w:ascii="仿宋_GB2312" w:hAnsi="仿宋_GB2312" w:eastAsia="仿宋_GB2312" w:cs="仿宋_GB2312"/>
          <w:b/>
          <w:color w:val="auto"/>
          <w:sz w:val="30"/>
          <w:szCs w:val="30"/>
          <w:highlight w:val="none"/>
        </w:rPr>
        <w:t>申请书</w:t>
      </w:r>
      <w:bookmarkEnd w:id="83"/>
    </w:p>
    <w:p w14:paraId="5B3951F0">
      <w:pPr>
        <w:spacing w:line="460" w:lineRule="exact"/>
        <w:rPr>
          <w:rFonts w:ascii="仿宋_GB2312" w:hAnsi="仿宋_GB2312" w:eastAsia="仿宋_GB2312" w:cs="仿宋_GB2312"/>
          <w:b/>
          <w:color w:val="auto"/>
          <w:sz w:val="30"/>
          <w:szCs w:val="30"/>
          <w:highlight w:val="none"/>
        </w:rPr>
      </w:pPr>
    </w:p>
    <w:p w14:paraId="160E64E9">
      <w:pPr>
        <w:spacing w:line="460" w:lineRule="exact"/>
        <w:rPr>
          <w:rFonts w:ascii="仿宋_GB2312" w:hAnsi="仿宋_GB2312" w:eastAsia="仿宋_GB2312" w:cs="仿宋_GB2312"/>
          <w:b/>
          <w:color w:val="auto"/>
          <w:sz w:val="30"/>
          <w:szCs w:val="30"/>
          <w:highlight w:val="none"/>
        </w:rPr>
      </w:pPr>
    </w:p>
    <w:p w14:paraId="36D9850B">
      <w:pPr>
        <w:spacing w:line="460" w:lineRule="exact"/>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lang w:val="en-US" w:eastAsia="zh-CN"/>
        </w:rPr>
        <w:t>项目编号：</w:t>
      </w:r>
      <w:r>
        <w:rPr>
          <w:rFonts w:hint="eastAsia" w:ascii="方正仿宋_GB2312" w:hAnsi="方正仿宋_GB2312" w:eastAsia="方正仿宋_GB2312" w:cs="方正仿宋_GB2312"/>
          <w:b w:val="0"/>
          <w:bCs w:val="0"/>
          <w:color w:val="auto"/>
          <w:sz w:val="32"/>
          <w:szCs w:val="32"/>
          <w:highlight w:val="none"/>
          <w:lang w:val="en-US" w:eastAsia="zh-CN"/>
        </w:rPr>
        <w:t>TCSY20260301</w:t>
      </w:r>
      <w:r>
        <w:rPr>
          <w:rFonts w:hint="eastAsia" w:ascii="仿宋_GB2312" w:hAnsi="仿宋_GB2312" w:eastAsia="仿宋_GB2312" w:cs="仿宋_GB2312"/>
          <w:b/>
          <w:color w:val="auto"/>
          <w:sz w:val="30"/>
          <w:szCs w:val="30"/>
          <w:highlight w:val="none"/>
          <w:lang w:val="en-US" w:eastAsia="zh-CN"/>
        </w:rPr>
        <w:t>）</w:t>
      </w:r>
    </w:p>
    <w:p w14:paraId="32469561">
      <w:pPr>
        <w:spacing w:line="460" w:lineRule="exact"/>
        <w:rPr>
          <w:rFonts w:ascii="仿宋_GB2312" w:hAnsi="仿宋_GB2312" w:eastAsia="仿宋_GB2312" w:cs="仿宋_GB2312"/>
          <w:color w:val="auto"/>
          <w:sz w:val="30"/>
          <w:szCs w:val="30"/>
          <w:highlight w:val="none"/>
        </w:rPr>
      </w:pPr>
    </w:p>
    <w:p w14:paraId="25B4F849">
      <w:pPr>
        <w:spacing w:line="460" w:lineRule="exact"/>
        <w:rPr>
          <w:rFonts w:ascii="仿宋_GB2312" w:hAnsi="仿宋_GB2312" w:eastAsia="仿宋_GB2312" w:cs="仿宋_GB2312"/>
          <w:b/>
          <w:color w:val="auto"/>
          <w:sz w:val="30"/>
          <w:szCs w:val="30"/>
          <w:highlight w:val="none"/>
        </w:rPr>
      </w:pPr>
    </w:p>
    <w:p w14:paraId="77E1EA96">
      <w:pPr>
        <w:spacing w:line="460" w:lineRule="exact"/>
        <w:ind w:firstLine="1656" w:firstLineChars="550"/>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30"/>
          <w:szCs w:val="30"/>
          <w:highlight w:val="none"/>
          <w:lang w:val="en-US" w:eastAsia="zh-CN"/>
        </w:rPr>
        <w:t>竞争性谈判</w:t>
      </w:r>
      <w:r>
        <w:rPr>
          <w:rFonts w:hint="eastAsia" w:ascii="仿宋_GB2312" w:hAnsi="仿宋_GB2312" w:eastAsia="仿宋_GB2312" w:cs="仿宋_GB2312"/>
          <w:b/>
          <w:color w:val="auto"/>
          <w:sz w:val="30"/>
          <w:szCs w:val="30"/>
          <w:highlight w:val="none"/>
        </w:rPr>
        <w:t xml:space="preserve">申请人：    </w:t>
      </w: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rPr>
        <w:t>全称并加盖公章</w:t>
      </w:r>
      <w:r>
        <w:rPr>
          <w:rFonts w:hint="eastAsia" w:ascii="仿宋_GB2312" w:hAnsi="仿宋_GB2312" w:eastAsia="仿宋_GB2312" w:cs="仿宋_GB2312"/>
          <w:b/>
          <w:color w:val="auto"/>
          <w:sz w:val="30"/>
          <w:szCs w:val="30"/>
          <w:highlight w:val="none"/>
          <w:lang w:eastAsia="zh-CN"/>
        </w:rPr>
        <w:t>）</w:t>
      </w:r>
    </w:p>
    <w:p w14:paraId="41A5FFB9">
      <w:pPr>
        <w:pStyle w:val="3"/>
        <w:rPr>
          <w:color w:val="auto"/>
        </w:rPr>
      </w:pPr>
    </w:p>
    <w:p w14:paraId="62FC00BD">
      <w:pPr>
        <w:spacing w:line="460" w:lineRule="exact"/>
        <w:ind w:firstLine="1656" w:firstLineChars="550"/>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联系人：</w:t>
      </w:r>
    </w:p>
    <w:p w14:paraId="6E8FA8A2">
      <w:pPr>
        <w:pStyle w:val="3"/>
        <w:rPr>
          <w:color w:val="auto"/>
        </w:rPr>
      </w:pPr>
    </w:p>
    <w:p w14:paraId="3FF91DB9">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联系电话：</w:t>
      </w:r>
    </w:p>
    <w:p w14:paraId="30E91B93">
      <w:pPr>
        <w:spacing w:line="460" w:lineRule="exact"/>
        <w:ind w:firstLine="1656" w:firstLineChars="550"/>
        <w:rPr>
          <w:rFonts w:ascii="仿宋_GB2312" w:hAnsi="仿宋_GB2312" w:eastAsia="仿宋_GB2312" w:cs="仿宋_GB2312"/>
          <w:b/>
          <w:color w:val="auto"/>
          <w:sz w:val="30"/>
          <w:szCs w:val="30"/>
          <w:highlight w:val="none"/>
        </w:rPr>
      </w:pPr>
    </w:p>
    <w:p w14:paraId="7787EFC1">
      <w:pPr>
        <w:spacing w:line="460" w:lineRule="exact"/>
        <w:ind w:firstLine="1656" w:firstLineChars="550"/>
        <w:rPr>
          <w:rFonts w:ascii="仿宋_GB2312" w:hAnsi="仿宋_GB2312" w:eastAsia="仿宋_GB2312" w:cs="仿宋_GB2312"/>
          <w:b/>
          <w:color w:val="auto"/>
          <w:sz w:val="30"/>
          <w:szCs w:val="30"/>
          <w:highlight w:val="none"/>
        </w:rPr>
      </w:pPr>
    </w:p>
    <w:p w14:paraId="2E8215FD">
      <w:pPr>
        <w:spacing w:line="460" w:lineRule="exact"/>
        <w:ind w:firstLine="1656" w:firstLineChars="550"/>
        <w:rPr>
          <w:rFonts w:ascii="仿宋_GB2312" w:hAnsi="仿宋_GB2312" w:eastAsia="仿宋_GB2312" w:cs="仿宋_GB2312"/>
          <w:b/>
          <w:color w:val="auto"/>
          <w:sz w:val="30"/>
          <w:szCs w:val="30"/>
          <w:highlight w:val="none"/>
        </w:rPr>
      </w:pPr>
    </w:p>
    <w:p w14:paraId="301273E9">
      <w:pPr>
        <w:spacing w:line="460" w:lineRule="exact"/>
        <w:jc w:val="center"/>
        <w:rPr>
          <w:rFonts w:ascii="仿宋_GB2312" w:hAnsi="仿宋_GB2312" w:eastAsia="仿宋_GB2312" w:cs="仿宋_GB2312"/>
          <w:b/>
          <w:color w:val="auto"/>
          <w:sz w:val="30"/>
          <w:szCs w:val="30"/>
          <w:highlight w:val="none"/>
        </w:rPr>
      </w:pPr>
      <w:bookmarkStart w:id="84" w:name="_Toc7456"/>
      <w:r>
        <w:rPr>
          <w:rFonts w:hint="eastAsia" w:ascii="仿宋_GB2312" w:hAnsi="仿宋_GB2312" w:eastAsia="仿宋_GB2312" w:cs="仿宋_GB2312"/>
          <w:b/>
          <w:color w:val="auto"/>
          <w:sz w:val="30"/>
          <w:szCs w:val="30"/>
          <w:highlight w:val="none"/>
        </w:rPr>
        <w:t>年   月   日</w:t>
      </w:r>
      <w:bookmarkEnd w:id="84"/>
    </w:p>
    <w:p w14:paraId="039DDDF1">
      <w:pPr>
        <w:widowControl w:val="0"/>
        <w:spacing w:before="240" w:after="60" w:line="460" w:lineRule="exact"/>
        <w:jc w:val="left"/>
        <w:outlineLvl w:val="1"/>
        <w:rPr>
          <w:rFonts w:hint="default"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br w:type="page"/>
      </w:r>
      <w:bookmarkStart w:id="85" w:name="_Toc16887"/>
      <w:bookmarkStart w:id="86" w:name="_Toc9662"/>
      <w:bookmarkStart w:id="87" w:name="_Toc10022"/>
      <w:bookmarkStart w:id="88" w:name="_Toc30337"/>
      <w:bookmarkStart w:id="89" w:name="_Toc12107"/>
      <w:bookmarkStart w:id="90" w:name="_Toc2677"/>
      <w:bookmarkStart w:id="91" w:name="_Toc10661"/>
      <w:bookmarkStart w:id="92" w:name="_Toc4068"/>
      <w:r>
        <w:rPr>
          <w:rFonts w:hint="eastAsia" w:ascii="仿宋_GB2312" w:hAnsi="仿宋_GB2312" w:eastAsia="仿宋_GB2312" w:cs="仿宋_GB2312"/>
          <w:b/>
          <w:bCs/>
          <w:color w:val="auto"/>
          <w:kern w:val="28"/>
          <w:sz w:val="30"/>
          <w:szCs w:val="30"/>
          <w:highlight w:val="none"/>
          <w:lang w:val="en-US" w:eastAsia="zh-CN" w:bidi="ar-SA"/>
        </w:rPr>
        <w:t>二、</w:t>
      </w:r>
      <w:bookmarkEnd w:id="85"/>
      <w:bookmarkEnd w:id="86"/>
      <w:bookmarkEnd w:id="87"/>
      <w:r>
        <w:rPr>
          <w:rFonts w:hint="eastAsia" w:ascii="仿宋_GB2312" w:hAnsi="仿宋_GB2312" w:eastAsia="仿宋_GB2312" w:cs="仿宋_GB2312"/>
          <w:b/>
          <w:bCs/>
          <w:color w:val="auto"/>
          <w:kern w:val="28"/>
          <w:sz w:val="30"/>
          <w:szCs w:val="30"/>
          <w:highlight w:val="none"/>
          <w:lang w:val="en-US" w:eastAsia="zh-CN" w:bidi="ar-SA"/>
        </w:rPr>
        <w:t>承诺函</w:t>
      </w:r>
    </w:p>
    <w:p w14:paraId="696EA996">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四川省铁产石油化工有限责任公司</w:t>
      </w:r>
    </w:p>
    <w:p w14:paraId="29291F8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我方全面研究了 “</w:t>
      </w:r>
      <w:r>
        <w:rPr>
          <w:rFonts w:hint="eastAsia" w:ascii="仿宋_GB2312" w:hAnsi="仿宋_GB2312" w:eastAsia="仿宋_GB2312" w:cs="仿宋_GB2312"/>
          <w:color w:val="auto"/>
          <w:sz w:val="24"/>
          <w:highlight w:val="none"/>
          <w:lang w:val="en-US" w:eastAsia="zh-CN"/>
        </w:rPr>
        <w:t>四川省铁产石油化工有限责任公司关于选聘某公司欠款案件专项法律服务机构</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的竞争性谈判</w:t>
      </w:r>
      <w:r>
        <w:rPr>
          <w:rFonts w:hint="eastAsia" w:ascii="仿宋_GB2312" w:hAnsi="仿宋_GB2312" w:eastAsia="仿宋_GB2312" w:cs="仿宋_GB2312"/>
          <w:color w:val="auto"/>
          <w:sz w:val="24"/>
          <w:highlight w:val="none"/>
        </w:rPr>
        <w:t>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项目编号：TCSY20260301）</w:t>
      </w:r>
      <w:r>
        <w:rPr>
          <w:rFonts w:hint="eastAsia" w:ascii="仿宋_GB2312" w:hAnsi="仿宋_GB2312" w:eastAsia="仿宋_GB2312" w:cs="仿宋_GB2312"/>
          <w:color w:val="auto"/>
          <w:sz w:val="24"/>
          <w:highlight w:val="none"/>
        </w:rPr>
        <w:t>，决定参加贵单位组织的本项目</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活动。我方授权</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（姓名、职务）代表我方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申请人单位的名称）全权处理本项目</w:t>
      </w:r>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color w:val="auto"/>
          <w:sz w:val="24"/>
          <w:highlight w:val="none"/>
        </w:rPr>
        <w:t>活动的有关事宜。在此提交的</w:t>
      </w:r>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color w:val="auto"/>
          <w:sz w:val="24"/>
          <w:highlight w:val="none"/>
        </w:rPr>
        <w:t>申请文件，正本一份，副本一份。包括如下内容：</w:t>
      </w:r>
    </w:p>
    <w:p w14:paraId="0A42B7F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申请书；负责人本人身份证复印件。如果有委托代理人的，应同时附负责人授权书、负责人身份复印件、委托代理人身份证复印件；</w:t>
      </w:r>
    </w:p>
    <w:p w14:paraId="5153FF92">
      <w:pPr>
        <w:spacing w:line="46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（二）团队构成，团队负责人及成员简介及其相关资格证书的复印件； </w:t>
      </w:r>
    </w:p>
    <w:p w14:paraId="4822E911">
      <w:pPr>
        <w:spacing w:line="460" w:lineRule="exact"/>
        <w:ind w:firstLine="48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三）服务方案；</w:t>
      </w:r>
    </w:p>
    <w:p w14:paraId="2BBDC9AB">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四</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报价；</w:t>
      </w:r>
    </w:p>
    <w:p w14:paraId="72C2FB8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）律师事务所执业许可证副本、相关资质复印件；</w:t>
      </w:r>
    </w:p>
    <w:p w14:paraId="2AB70722">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）本文件第三章提到的相关证明文件；</w:t>
      </w:r>
    </w:p>
    <w:p w14:paraId="27AA68B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七</w:t>
      </w:r>
      <w:r>
        <w:rPr>
          <w:rFonts w:hint="eastAsia" w:ascii="仿宋_GB2312" w:hAnsi="仿宋_GB2312" w:eastAsia="仿宋_GB2312" w:cs="仿宋_GB2312"/>
          <w:color w:val="auto"/>
          <w:sz w:val="24"/>
          <w:highlight w:val="none"/>
        </w:rPr>
        <w:t>）承诺函；</w:t>
      </w:r>
    </w:p>
    <w:p w14:paraId="675E479F">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八</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2023年、2024年、</w:t>
      </w:r>
      <w:r>
        <w:rPr>
          <w:rFonts w:hint="eastAsia"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年度审计报告；</w:t>
      </w:r>
    </w:p>
    <w:p w14:paraId="0593CFCD">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w:t>
      </w:r>
      <w:r>
        <w:rPr>
          <w:rFonts w:hint="eastAsia" w:ascii="仿宋_GB2312" w:hAnsi="仿宋_GB2312" w:eastAsia="仿宋_GB2312" w:cs="仿宋_GB2312"/>
          <w:color w:val="auto"/>
          <w:sz w:val="24"/>
          <w:highlight w:val="none"/>
          <w:lang w:eastAsia="zh-CN"/>
        </w:rPr>
        <w:t>已完全</w:t>
      </w:r>
      <w:r>
        <w:rPr>
          <w:rFonts w:hint="eastAsia" w:ascii="仿宋_GB2312" w:hAnsi="仿宋_GB2312" w:eastAsia="仿宋_GB2312" w:cs="仿宋_GB2312"/>
          <w:color w:val="auto"/>
          <w:sz w:val="24"/>
          <w:highlight w:val="none"/>
        </w:rPr>
        <w:t>明白</w:t>
      </w:r>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color w:val="auto"/>
          <w:sz w:val="24"/>
          <w:highlight w:val="none"/>
        </w:rPr>
        <w:t>文件的所有条款要求，并重申以下几点：</w:t>
      </w:r>
    </w:p>
    <w:p w14:paraId="2A00FBB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我方决定参加此次</w:t>
      </w:r>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color w:val="auto"/>
          <w:sz w:val="24"/>
          <w:highlight w:val="none"/>
        </w:rPr>
        <w:t>项目的法律服务工作并已经实施全部有关服务的</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报价及详细预算。</w:t>
      </w:r>
    </w:p>
    <w:p w14:paraId="66EF964D">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（二）我方了解并知悉</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文件第五章“项目需求及服务、团队等相关要求”所列明的内容并进行</w:t>
      </w:r>
      <w:r>
        <w:rPr>
          <w:rFonts w:hint="eastAsia" w:ascii="仿宋_GB2312" w:hAnsi="仿宋_GB2312" w:eastAsia="仿宋_GB2312" w:cs="仿宋_GB2312"/>
          <w:color w:val="auto"/>
          <w:sz w:val="24"/>
          <w:highlight w:val="none"/>
          <w:u w:val="single"/>
        </w:rPr>
        <w:t xml:space="preserve"> 完全/部分 </w:t>
      </w:r>
      <w:r>
        <w:rPr>
          <w:rFonts w:hint="eastAsia" w:ascii="仿宋_GB2312" w:hAnsi="仿宋_GB2312" w:eastAsia="仿宋_GB2312" w:cs="仿宋_GB2312"/>
          <w:color w:val="auto"/>
          <w:sz w:val="24"/>
          <w:highlight w:val="none"/>
        </w:rPr>
        <w:t>响应，其中</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项我单位无法响应（如有请列明序号）。</w:t>
      </w:r>
    </w:p>
    <w:p w14:paraId="3E2F9FB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申请文件的有效期至比选截止日后</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天有效，如中选，有效期将延至合同终止日止。</w:t>
      </w:r>
    </w:p>
    <w:p w14:paraId="51B3A90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我方已详细研究了</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文件的所有内容包括修正文件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和所有已提供的参考资料以及有关附件并完全明白。我方放弃在此方面提出含糊意见或误解的一切权力。</w:t>
      </w:r>
    </w:p>
    <w:p w14:paraId="35F1648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五</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我方同意按照贵方可能提出的要求而提供与</w:t>
      </w:r>
      <w:r>
        <w:rPr>
          <w:rFonts w:hint="eastAsia" w:ascii="仿宋_GB2312" w:hAnsi="仿宋_GB2312" w:eastAsia="仿宋_GB2312" w:cs="仿宋_GB2312"/>
          <w:color w:val="auto"/>
          <w:sz w:val="24"/>
          <w:highlight w:val="none"/>
          <w:lang w:val="en-US" w:eastAsia="zh-CN"/>
        </w:rPr>
        <w:t>竞争性谈判文件</w:t>
      </w:r>
      <w:r>
        <w:rPr>
          <w:rFonts w:hint="eastAsia" w:ascii="仿宋_GB2312" w:hAnsi="仿宋_GB2312" w:eastAsia="仿宋_GB2312" w:cs="仿宋_GB2312"/>
          <w:color w:val="auto"/>
          <w:sz w:val="24"/>
          <w:highlight w:val="none"/>
        </w:rPr>
        <w:t>有关的</w:t>
      </w:r>
      <w:r>
        <w:rPr>
          <w:rFonts w:hint="eastAsia" w:ascii="仿宋_GB2312" w:hAnsi="仿宋_GB2312" w:eastAsia="仿宋_GB2312" w:cs="仿宋_GB2312"/>
          <w:color w:val="auto"/>
          <w:sz w:val="24"/>
          <w:highlight w:val="none"/>
          <w:lang w:eastAsia="zh-CN"/>
        </w:rPr>
        <w:t>任何其他</w:t>
      </w:r>
      <w:r>
        <w:rPr>
          <w:rFonts w:hint="eastAsia" w:ascii="仿宋_GB2312" w:hAnsi="仿宋_GB2312" w:eastAsia="仿宋_GB2312" w:cs="仿宋_GB2312"/>
          <w:color w:val="auto"/>
          <w:sz w:val="24"/>
          <w:highlight w:val="none"/>
        </w:rPr>
        <w:t>数据或信息。</w:t>
      </w:r>
    </w:p>
    <w:p w14:paraId="1BD2649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我方如果中选，将保证履行</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文件以及</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文件修改书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中全部责任和义务，按质、按量、按期完成任务。</w:t>
      </w:r>
    </w:p>
    <w:p w14:paraId="4E1CCB5E">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七</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所有与本次</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有关的函件请发往下列地址：</w:t>
      </w:r>
    </w:p>
    <w:p w14:paraId="7BC6BFD5">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    址：  </w:t>
      </w:r>
    </w:p>
    <w:p w14:paraId="0F12572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邮政编码：          电话：         传真：  </w:t>
      </w:r>
    </w:p>
    <w:p w14:paraId="591C863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7C23278A">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参选机构（律所公章）</w:t>
      </w:r>
    </w:p>
    <w:p w14:paraId="5D0B2E3A">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法定代表姓名：             </w:t>
      </w:r>
    </w:p>
    <w:p w14:paraId="2DF96CA0">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        务：</w:t>
      </w:r>
    </w:p>
    <w:p w14:paraId="738727A7">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授权代表姓名（签名或盖章）</w:t>
      </w:r>
    </w:p>
    <w:p w14:paraId="65E289C7">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参选机构地址：</w:t>
      </w:r>
    </w:p>
    <w:p w14:paraId="248544C4">
      <w:pPr>
        <w:spacing w:line="460" w:lineRule="exact"/>
        <w:ind w:firstLine="480"/>
        <w:jc w:val="right"/>
        <w:rPr>
          <w:rFonts w:ascii="仿宋_GB2312" w:hAnsi="仿宋_GB2312" w:eastAsia="仿宋_GB2312" w:cs="仿宋_GB2312"/>
          <w:color w:val="auto"/>
          <w:sz w:val="24"/>
          <w:highlight w:val="none"/>
        </w:rPr>
      </w:pPr>
    </w:p>
    <w:p w14:paraId="28E60825">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p>
    <w:p w14:paraId="3CAA8B95">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1C7A082">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BF86DF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15AC841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229D56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78E73AA7">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22BAAA2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7A5326B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691B8B3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FE4B97A">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093AD3E">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三、法定代表人授权书</w:t>
      </w:r>
      <w:bookmarkEnd w:id="88"/>
      <w:bookmarkEnd w:id="89"/>
      <w:bookmarkEnd w:id="90"/>
      <w:bookmarkEnd w:id="91"/>
      <w:bookmarkEnd w:id="92"/>
    </w:p>
    <w:p w14:paraId="6BCE40B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申请人根据自身情况在</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申请书中提供（1）或（2）。</w:t>
      </w:r>
    </w:p>
    <w:p w14:paraId="0D5E83D5">
      <w:pPr>
        <w:spacing w:line="460" w:lineRule="exact"/>
        <w:ind w:firstLine="480"/>
        <w:rPr>
          <w:rFonts w:ascii="仿宋_GB2312" w:hAnsi="仿宋_GB2312" w:eastAsia="仿宋_GB2312" w:cs="仿宋_GB2312"/>
          <w:color w:val="auto"/>
          <w:sz w:val="24"/>
          <w:highlight w:val="none"/>
        </w:rPr>
      </w:pPr>
    </w:p>
    <w:p w14:paraId="4344FB97">
      <w:pPr>
        <w:spacing w:line="460" w:lineRule="exact"/>
        <w:ind w:firstLine="602"/>
        <w:jc w:val="center"/>
        <w:rPr>
          <w:rFonts w:ascii="仿宋_GB2312" w:hAnsi="仿宋_GB2312" w:eastAsia="仿宋_GB2312" w:cs="仿宋_GB2312"/>
          <w:b/>
          <w:color w:val="auto"/>
          <w:sz w:val="24"/>
          <w:highlight w:val="none"/>
        </w:rPr>
      </w:pPr>
      <w:bookmarkStart w:id="93" w:name="_Toc24911"/>
      <w:r>
        <w:rPr>
          <w:rFonts w:hint="eastAsia" w:ascii="仿宋_GB2312" w:hAnsi="仿宋_GB2312" w:eastAsia="仿宋_GB2312" w:cs="仿宋_GB2312"/>
          <w:b/>
          <w:color w:val="auto"/>
          <w:sz w:val="24"/>
          <w:highlight w:val="none"/>
        </w:rPr>
        <w:t>（1）法定代表人证明</w:t>
      </w:r>
      <w:bookmarkEnd w:id="93"/>
    </w:p>
    <w:p w14:paraId="5E053A08">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（仅在法定代表人参加比选时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715A570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律师事务所名称：</w:t>
      </w:r>
      <w:r>
        <w:rPr>
          <w:rFonts w:hint="eastAsia" w:ascii="仿宋_GB2312" w:hAnsi="仿宋_GB2312" w:eastAsia="仿宋_GB2312" w:cs="仿宋_GB2312"/>
          <w:color w:val="auto"/>
          <w:sz w:val="24"/>
          <w:highlight w:val="none"/>
          <w:u w:val="single"/>
        </w:rPr>
        <w:t xml:space="preserve">                                      </w:t>
      </w:r>
    </w:p>
    <w:p w14:paraId="5DC838D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7D7341D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 xml:space="preserve">                                              </w:t>
      </w:r>
    </w:p>
    <w:p w14:paraId="6F99903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成立时间：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77C02FC7">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经营期限：</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162188B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性别：</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职务：</w:t>
      </w:r>
      <w:r>
        <w:rPr>
          <w:rFonts w:hint="eastAsia" w:ascii="仿宋_GB2312" w:hAnsi="仿宋_GB2312" w:eastAsia="仿宋_GB2312" w:cs="仿宋_GB2312"/>
          <w:color w:val="auto"/>
          <w:sz w:val="24"/>
          <w:highlight w:val="none"/>
          <w:u w:val="single"/>
        </w:rPr>
        <w:t xml:space="preserve">       </w:t>
      </w:r>
    </w:p>
    <w:p w14:paraId="64936523">
      <w:pPr>
        <w:spacing w:line="460" w:lineRule="exact"/>
        <w:ind w:firstLine="48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身份证号码：</w:t>
      </w:r>
      <w:r>
        <w:rPr>
          <w:rFonts w:hint="eastAsia" w:ascii="仿宋_GB2312" w:hAnsi="仿宋_GB2312" w:eastAsia="仿宋_GB2312" w:cs="仿宋_GB2312"/>
          <w:color w:val="auto"/>
          <w:sz w:val="24"/>
          <w:highlight w:val="none"/>
          <w:u w:val="single"/>
        </w:rPr>
        <w:t xml:space="preserve">                   </w:t>
      </w:r>
    </w:p>
    <w:p w14:paraId="257277F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申请人）的法定代表人。</w:t>
      </w:r>
    </w:p>
    <w:p w14:paraId="785AF229">
      <w:pPr>
        <w:spacing w:line="460" w:lineRule="exact"/>
        <w:ind w:firstLine="960" w:firstLine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特此证明。</w:t>
      </w:r>
    </w:p>
    <w:p w14:paraId="77228C17">
      <w:pPr>
        <w:spacing w:line="460" w:lineRule="exact"/>
        <w:rPr>
          <w:rFonts w:ascii="仿宋_GB2312" w:hAnsi="仿宋_GB2312" w:eastAsia="仿宋_GB2312" w:cs="仿宋_GB2312"/>
          <w:color w:val="auto"/>
          <w:sz w:val="24"/>
          <w:highlight w:val="none"/>
        </w:rPr>
      </w:pPr>
    </w:p>
    <w:p w14:paraId="090771F0">
      <w:pPr>
        <w:wordWrap w:val="0"/>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（盖单位公章）</w:t>
      </w:r>
    </w:p>
    <w:p w14:paraId="04906174">
      <w:pPr>
        <w:spacing w:line="460" w:lineRule="exact"/>
        <w:ind w:firstLine="5160" w:firstLineChars="2150"/>
        <w:rPr>
          <w:rFonts w:ascii="仿宋_GB2312" w:hAnsi="仿宋_GB2312" w:eastAsia="仿宋_GB2312" w:cs="仿宋_GB2312"/>
          <w:color w:val="auto"/>
          <w:sz w:val="24"/>
          <w:highlight w:val="none"/>
          <w:u w:val="single"/>
        </w:rPr>
      </w:pPr>
    </w:p>
    <w:p w14:paraId="1B9D1616">
      <w:pPr>
        <w:spacing w:line="460" w:lineRule="exact"/>
        <w:ind w:firstLine="4200" w:firstLineChars="17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3314618B">
      <w:pPr>
        <w:tabs>
          <w:tab w:val="left" w:pos="8280"/>
        </w:tabs>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附法定代表人身份证复印件。</w:t>
      </w:r>
    </w:p>
    <w:p w14:paraId="28BBA85C">
      <w:pPr>
        <w:spacing w:line="460" w:lineRule="exact"/>
        <w:rPr>
          <w:rFonts w:ascii="仿宋_GB2312" w:hAnsi="仿宋_GB2312" w:eastAsia="仿宋_GB2312" w:cs="仿宋_GB2312"/>
          <w:b/>
          <w:color w:val="auto"/>
          <w:sz w:val="24"/>
          <w:highlight w:val="none"/>
        </w:rPr>
      </w:pPr>
    </w:p>
    <w:p w14:paraId="50C51AF6">
      <w:pPr>
        <w:spacing w:line="460" w:lineRule="exact"/>
        <w:rPr>
          <w:rFonts w:ascii="仿宋_GB2312" w:hAnsi="仿宋_GB2312" w:eastAsia="仿宋_GB2312" w:cs="仿宋_GB2312"/>
          <w:b/>
          <w:color w:val="auto"/>
          <w:sz w:val="24"/>
          <w:highlight w:val="none"/>
        </w:rPr>
      </w:pPr>
    </w:p>
    <w:p w14:paraId="201041CD">
      <w:pPr>
        <w:spacing w:line="460" w:lineRule="exact"/>
        <w:rPr>
          <w:rFonts w:ascii="仿宋_GB2312" w:hAnsi="仿宋_GB2312" w:eastAsia="仿宋_GB2312" w:cs="仿宋_GB2312"/>
          <w:b/>
          <w:color w:val="auto"/>
          <w:sz w:val="24"/>
          <w:highlight w:val="none"/>
        </w:rPr>
      </w:pPr>
    </w:p>
    <w:p w14:paraId="47350A8E">
      <w:pPr>
        <w:spacing w:line="460" w:lineRule="exact"/>
        <w:rPr>
          <w:rFonts w:ascii="仿宋_GB2312" w:hAnsi="仿宋_GB2312" w:eastAsia="仿宋_GB2312" w:cs="仿宋_GB2312"/>
          <w:b/>
          <w:color w:val="auto"/>
          <w:sz w:val="24"/>
          <w:highlight w:val="none"/>
        </w:rPr>
      </w:pPr>
    </w:p>
    <w:p w14:paraId="06E4D819">
      <w:pPr>
        <w:spacing w:line="460" w:lineRule="exact"/>
        <w:rPr>
          <w:rFonts w:ascii="仿宋_GB2312" w:hAnsi="仿宋_GB2312" w:eastAsia="仿宋_GB2312" w:cs="仿宋_GB2312"/>
          <w:b/>
          <w:color w:val="auto"/>
          <w:sz w:val="24"/>
          <w:highlight w:val="none"/>
        </w:rPr>
      </w:pPr>
    </w:p>
    <w:p w14:paraId="14E6A9B9">
      <w:pPr>
        <w:spacing w:line="460" w:lineRule="exact"/>
        <w:rPr>
          <w:rFonts w:ascii="仿宋_GB2312" w:hAnsi="仿宋_GB2312" w:eastAsia="仿宋_GB2312" w:cs="仿宋_GB2312"/>
          <w:b/>
          <w:color w:val="auto"/>
          <w:sz w:val="24"/>
          <w:highlight w:val="none"/>
        </w:rPr>
      </w:pPr>
    </w:p>
    <w:p w14:paraId="7A26AB1F">
      <w:pPr>
        <w:spacing w:line="460" w:lineRule="exact"/>
        <w:rPr>
          <w:rFonts w:ascii="仿宋_GB2312" w:hAnsi="仿宋_GB2312" w:eastAsia="仿宋_GB2312" w:cs="仿宋_GB2312"/>
          <w:b/>
          <w:color w:val="auto"/>
          <w:sz w:val="24"/>
          <w:highlight w:val="none"/>
        </w:rPr>
      </w:pPr>
    </w:p>
    <w:p w14:paraId="7EE3BC73">
      <w:pPr>
        <w:spacing w:line="460" w:lineRule="exact"/>
        <w:rPr>
          <w:rFonts w:ascii="仿宋_GB2312" w:hAnsi="仿宋_GB2312" w:eastAsia="仿宋_GB2312" w:cs="仿宋_GB2312"/>
          <w:b/>
          <w:color w:val="auto"/>
          <w:sz w:val="24"/>
          <w:highlight w:val="none"/>
        </w:rPr>
      </w:pPr>
    </w:p>
    <w:p w14:paraId="4712493D">
      <w:pPr>
        <w:spacing w:line="460" w:lineRule="exact"/>
        <w:rPr>
          <w:rFonts w:ascii="仿宋_GB2312" w:hAnsi="仿宋_GB2312" w:eastAsia="仿宋_GB2312" w:cs="仿宋_GB2312"/>
          <w:b/>
          <w:color w:val="auto"/>
          <w:sz w:val="24"/>
          <w:highlight w:val="none"/>
        </w:rPr>
      </w:pPr>
    </w:p>
    <w:p w14:paraId="09E68FA5">
      <w:pPr>
        <w:spacing w:line="460" w:lineRule="exact"/>
        <w:rPr>
          <w:rFonts w:ascii="仿宋_GB2312" w:hAnsi="仿宋_GB2312" w:eastAsia="仿宋_GB2312" w:cs="仿宋_GB2312"/>
          <w:b/>
          <w:color w:val="auto"/>
          <w:sz w:val="24"/>
          <w:highlight w:val="none"/>
        </w:rPr>
      </w:pPr>
    </w:p>
    <w:p w14:paraId="5345CB09">
      <w:pPr>
        <w:spacing w:line="460" w:lineRule="exact"/>
        <w:rPr>
          <w:rFonts w:ascii="仿宋_GB2312" w:hAnsi="仿宋_GB2312" w:eastAsia="仿宋_GB2312" w:cs="仿宋_GB2312"/>
          <w:b/>
          <w:color w:val="auto"/>
          <w:sz w:val="24"/>
          <w:highlight w:val="none"/>
        </w:rPr>
      </w:pPr>
    </w:p>
    <w:p w14:paraId="1B7C46A2">
      <w:pPr>
        <w:spacing w:line="460" w:lineRule="exact"/>
        <w:jc w:val="center"/>
        <w:rPr>
          <w:rFonts w:ascii="仿宋_GB2312" w:hAnsi="仿宋_GB2312" w:eastAsia="仿宋_GB2312" w:cs="仿宋_GB2312"/>
          <w:b/>
          <w:color w:val="auto"/>
          <w:sz w:val="24"/>
          <w:highlight w:val="none"/>
        </w:rPr>
      </w:pPr>
      <w:bookmarkStart w:id="94" w:name="_Toc10373"/>
      <w:r>
        <w:rPr>
          <w:rFonts w:hint="eastAsia" w:ascii="仿宋_GB2312" w:hAnsi="仿宋_GB2312" w:eastAsia="仿宋_GB2312" w:cs="仿宋_GB2312"/>
          <w:b/>
          <w:color w:val="auto"/>
          <w:sz w:val="24"/>
          <w:highlight w:val="none"/>
        </w:rPr>
        <w:t>（2）法定代表人委托书</w:t>
      </w:r>
      <w:bookmarkEnd w:id="94"/>
    </w:p>
    <w:p w14:paraId="7DDF905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0A6A4521">
      <w:pPr>
        <w:spacing w:line="460" w:lineRule="exact"/>
        <w:jc w:val="center"/>
        <w:rPr>
          <w:rFonts w:ascii="仿宋_GB2312" w:hAnsi="仿宋_GB2312" w:eastAsia="仿宋_GB2312" w:cs="仿宋_GB2312"/>
          <w:b/>
          <w:color w:val="auto"/>
          <w:sz w:val="24"/>
          <w:highlight w:val="none"/>
        </w:rPr>
      </w:pPr>
    </w:p>
    <w:p w14:paraId="0EA15D0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本授权委托书声明：我</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的法定代表人，现授权</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为我公司</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委托代理人，以本所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的名义参加“</w:t>
      </w:r>
      <w:r>
        <w:rPr>
          <w:rFonts w:hint="eastAsia" w:ascii="仿宋_GB2312" w:hAnsi="仿宋_GB2312" w:eastAsia="仿宋_GB2312" w:cs="仿宋_GB2312"/>
          <w:color w:val="auto"/>
          <w:sz w:val="24"/>
          <w:highlight w:val="none"/>
          <w:lang w:val="en-US" w:eastAsia="zh-CN"/>
        </w:rPr>
        <w:t>四川省铁产石油化工有限责任公司某公司欠款案件</w:t>
      </w:r>
      <w:r>
        <w:rPr>
          <w:rFonts w:hint="eastAsia" w:ascii="仿宋_GB2312" w:hAnsi="仿宋_GB2312" w:eastAsia="仿宋_GB2312" w:cs="仿宋_GB2312"/>
          <w:color w:val="auto"/>
          <w:sz w:val="24"/>
          <w:highlight w:val="none"/>
        </w:rPr>
        <w:t>选聘项目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项目编号：TCSY20260301）</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。委托代理人在</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过程中所签署的一切文件和处理与之有关的一切事务，我及我所均予以承认并全部承担其产生的所有权利和义务。</w:t>
      </w:r>
    </w:p>
    <w:p w14:paraId="7D3F3405">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委托代理人无转委托权。特此委托。</w:t>
      </w:r>
    </w:p>
    <w:p w14:paraId="3CFA67C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委托权限：特别授权</w:t>
      </w:r>
    </w:p>
    <w:p w14:paraId="54CB8560">
      <w:pPr>
        <w:spacing w:line="460" w:lineRule="exact"/>
        <w:rPr>
          <w:rFonts w:ascii="仿宋_GB2312" w:hAnsi="仿宋_GB2312" w:eastAsia="仿宋_GB2312" w:cs="仿宋_GB2312"/>
          <w:color w:val="auto"/>
          <w:sz w:val="24"/>
          <w:highlight w:val="none"/>
        </w:rPr>
      </w:pPr>
    </w:p>
    <w:p w14:paraId="0B1E02C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r>
        <w:rPr>
          <w:rFonts w:hint="eastAsia" w:ascii="仿宋_GB2312" w:hAnsi="仿宋_GB2312" w:eastAsia="仿宋_GB2312" w:cs="仿宋_GB2312"/>
          <w:color w:val="auto"/>
          <w:sz w:val="24"/>
          <w:highlight w:val="none"/>
          <w:u w:val="single"/>
        </w:rPr>
        <w:t xml:space="preserve">                </w:t>
      </w:r>
    </w:p>
    <w:p w14:paraId="2B0DD1BD">
      <w:pPr>
        <w:spacing w:line="460" w:lineRule="exact"/>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  被授权人（签字）：</w:t>
      </w:r>
      <w:r>
        <w:rPr>
          <w:rFonts w:hint="eastAsia" w:ascii="仿宋_GB2312" w:hAnsi="仿宋_GB2312" w:eastAsia="仿宋_GB2312" w:cs="仿宋_GB2312"/>
          <w:color w:val="auto"/>
          <w:sz w:val="24"/>
          <w:highlight w:val="none"/>
          <w:u w:val="single"/>
        </w:rPr>
        <w:t xml:space="preserve">                </w:t>
      </w:r>
    </w:p>
    <w:p w14:paraId="7998E3CB">
      <w:pPr>
        <w:spacing w:line="460" w:lineRule="exact"/>
        <w:rPr>
          <w:rFonts w:ascii="仿宋_GB2312" w:hAnsi="仿宋_GB2312" w:eastAsia="仿宋_GB2312" w:cs="仿宋_GB2312"/>
          <w:color w:val="auto"/>
          <w:sz w:val="24"/>
          <w:highlight w:val="none"/>
        </w:rPr>
      </w:pPr>
    </w:p>
    <w:p w14:paraId="0ABD189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后附法定代表人和被授权人的身份证复印件。</w:t>
      </w:r>
    </w:p>
    <w:p w14:paraId="49E7E7AA">
      <w:pPr>
        <w:spacing w:line="460" w:lineRule="exact"/>
        <w:rPr>
          <w:rFonts w:ascii="仿宋_GB2312" w:hAnsi="仿宋_GB2312" w:eastAsia="仿宋_GB2312" w:cs="仿宋_GB2312"/>
          <w:color w:val="auto"/>
          <w:sz w:val="24"/>
          <w:highlight w:val="none"/>
        </w:rPr>
      </w:pPr>
    </w:p>
    <w:p w14:paraId="672B96C6">
      <w:pPr>
        <w:spacing w:line="460" w:lineRule="exact"/>
        <w:ind w:firstLine="3720" w:firstLineChars="155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p>
    <w:p w14:paraId="47B1437C">
      <w:pPr>
        <w:spacing w:line="460" w:lineRule="exact"/>
        <w:ind w:firstLine="3120" w:firstLineChars="1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   年   月    日</w:t>
      </w:r>
    </w:p>
    <w:p w14:paraId="5EB07EA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95" w:name="_Toc14006"/>
      <w:bookmarkStart w:id="96" w:name="_Toc21876"/>
      <w:bookmarkStart w:id="97" w:name="_Toc6335"/>
      <w:bookmarkStart w:id="98" w:name="_Toc15612"/>
      <w:bookmarkStart w:id="99" w:name="_Toc9094"/>
      <w:r>
        <w:rPr>
          <w:rFonts w:hint="eastAsia" w:ascii="仿宋_GB2312" w:hAnsi="仿宋_GB2312" w:eastAsia="仿宋_GB2312" w:cs="仿宋_GB2312"/>
          <w:b/>
          <w:bCs/>
          <w:color w:val="auto"/>
          <w:kern w:val="28"/>
          <w:sz w:val="30"/>
          <w:szCs w:val="30"/>
          <w:highlight w:val="none"/>
          <w:lang w:val="en-US" w:eastAsia="zh-CN" w:bidi="ar-SA"/>
        </w:rPr>
        <w:t>四、</w:t>
      </w:r>
      <w:r>
        <w:rPr>
          <w:rFonts w:hint="eastAsia" w:ascii="仿宋_GB2312" w:hAnsi="仿宋_GB2312" w:eastAsia="仿宋_GB2312" w:cs="仿宋_GB2312"/>
          <w:b/>
          <w:bCs/>
          <w:color w:val="auto"/>
          <w:sz w:val="32"/>
          <w:szCs w:val="32"/>
          <w:highlight w:val="none"/>
          <w:lang w:val="en-US" w:eastAsia="zh-CN"/>
        </w:rPr>
        <w:t>竞争性谈判</w:t>
      </w:r>
      <w:r>
        <w:rPr>
          <w:rFonts w:hint="eastAsia" w:ascii="仿宋_GB2312" w:hAnsi="仿宋_GB2312" w:eastAsia="仿宋_GB2312" w:cs="仿宋_GB2312"/>
          <w:b/>
          <w:bCs/>
          <w:color w:val="auto"/>
          <w:kern w:val="28"/>
          <w:sz w:val="30"/>
          <w:szCs w:val="30"/>
          <w:highlight w:val="none"/>
          <w:lang w:val="en-US" w:eastAsia="zh-CN" w:bidi="ar-SA"/>
        </w:rPr>
        <w:t>申请人的资格要求证明材料承诺</w:t>
      </w:r>
      <w:bookmarkEnd w:id="95"/>
      <w:bookmarkEnd w:id="96"/>
      <w:bookmarkEnd w:id="97"/>
      <w:bookmarkEnd w:id="98"/>
      <w:bookmarkEnd w:id="99"/>
      <w:r>
        <w:rPr>
          <w:rFonts w:hint="eastAsia" w:ascii="仿宋_GB2312" w:hAnsi="仿宋_GB2312" w:eastAsia="仿宋_GB2312" w:cs="仿宋_GB2312"/>
          <w:b/>
          <w:bCs/>
          <w:color w:val="auto"/>
          <w:kern w:val="28"/>
          <w:sz w:val="30"/>
          <w:szCs w:val="30"/>
          <w:highlight w:val="none"/>
          <w:lang w:val="en-US" w:eastAsia="zh-CN" w:bidi="ar-SA"/>
        </w:rPr>
        <w:t>函</w:t>
      </w:r>
    </w:p>
    <w:p w14:paraId="608C0BAC">
      <w:pPr>
        <w:spacing w:line="460" w:lineRule="exact"/>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四川省铁产石油化工有限责任公司</w:t>
      </w:r>
    </w:p>
    <w:p w14:paraId="32DABC6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本单位自愿参加</w:t>
      </w:r>
      <w:r>
        <w:rPr>
          <w:rFonts w:hint="eastAsia" w:ascii="仿宋_GB2312" w:hAnsi="仿宋_GB2312" w:eastAsia="仿宋_GB2312" w:cs="仿宋_GB2312"/>
          <w:color w:val="auto"/>
          <w:sz w:val="24"/>
          <w:highlight w:val="none"/>
          <w:lang w:val="en-US" w:eastAsia="zh-CN"/>
        </w:rPr>
        <w:t>四川省铁产石油化工有限责任公司关于选聘某公司欠款案件专项法律服务机构的竞争性谈判</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项目编号：TCSY20260301）</w:t>
      </w:r>
      <w:r>
        <w:rPr>
          <w:rFonts w:hint="eastAsia" w:ascii="仿宋_GB2312" w:hAnsi="仿宋_GB2312" w:eastAsia="仿宋_GB2312" w:cs="仿宋_GB2312"/>
          <w:color w:val="auto"/>
          <w:sz w:val="24"/>
          <w:highlight w:val="none"/>
        </w:rPr>
        <w:t>，并保证选聘文件中所列举报价文件及相关资料和公司基本情况资料是真实的、有效的、合法的。如经查实下列承诺的内容事项及材料存在虚假，我单位愿意接受以提供虚假材料谋取中选追究法律责任。本律所承诺如下：</w:t>
      </w:r>
    </w:p>
    <w:p w14:paraId="0BA733B8">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1.同意</w:t>
      </w:r>
      <w:r>
        <w:rPr>
          <w:rFonts w:hint="eastAsia" w:ascii="仿宋_GB2312" w:hAnsi="仿宋_GB2312" w:eastAsia="仿宋_GB2312" w:cs="仿宋_GB2312"/>
          <w:b w:val="0"/>
          <w:bCs w:val="0"/>
          <w:color w:val="auto"/>
          <w:sz w:val="24"/>
          <w:highlight w:val="none"/>
          <w:lang w:val="en-US" w:eastAsia="zh-CN"/>
        </w:rPr>
        <w:t>竞争性谈判</w:t>
      </w:r>
      <w:r>
        <w:rPr>
          <w:rFonts w:hint="eastAsia" w:ascii="仿宋_GB2312" w:hAnsi="仿宋_GB2312" w:eastAsia="仿宋_GB2312" w:cs="仿宋_GB2312"/>
          <w:color w:val="auto"/>
          <w:sz w:val="24"/>
          <w:highlight w:val="none"/>
        </w:rPr>
        <w:t>文件中的有关规定，并按照贵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要求</w:t>
      </w:r>
      <w:r>
        <w:rPr>
          <w:rFonts w:hint="eastAsia" w:ascii="仿宋_GB2312" w:hAnsi="仿宋_GB2312" w:eastAsia="仿宋_GB2312" w:cs="仿宋_GB2312"/>
          <w:color w:val="auto"/>
          <w:sz w:val="24"/>
          <w:highlight w:val="none"/>
          <w:lang w:val="en-US" w:eastAsia="zh-CN"/>
        </w:rPr>
        <w:t>提供</w:t>
      </w:r>
      <w:r>
        <w:rPr>
          <w:rFonts w:hint="eastAsia" w:ascii="仿宋_GB2312" w:hAnsi="仿宋_GB2312" w:eastAsia="仿宋_GB2312" w:cs="仿宋_GB2312"/>
          <w:color w:val="auto"/>
          <w:sz w:val="24"/>
          <w:highlight w:val="none"/>
        </w:rPr>
        <w:t>与</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有关的数据、情况和资料等。</w:t>
      </w:r>
    </w:p>
    <w:p w14:paraId="27CFEB0B">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2.本单位</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日前三年内不存在骗取成交或严重违规、违约问题；比选日前两年内不存在违反国家有关法律法规的行为；未接受利益相对方委托，就同一事项提供有利益冲突的法律服务；未出具虚假或重大失实的业务报告；未曾违反法律服务合同约定给委托方造成重大损失；未处于被责令停业、财产被冻结、接管、破产状态。</w:t>
      </w:r>
    </w:p>
    <w:p w14:paraId="56CF40A1">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3.本单位如中选，保证按照</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文件的承诺与贵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签订服务合同。</w:t>
      </w:r>
    </w:p>
    <w:p w14:paraId="4A86C588">
      <w:pPr>
        <w:spacing w:line="460" w:lineRule="exact"/>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4.无论本</w:t>
      </w:r>
      <w:r>
        <w:rPr>
          <w:rFonts w:hint="eastAsia" w:ascii="仿宋_GB2312" w:hAnsi="仿宋_GB2312" w:eastAsia="仿宋_GB2312" w:cs="仿宋_GB2312"/>
          <w:color w:val="auto"/>
          <w:sz w:val="24"/>
          <w:highlight w:val="none"/>
          <w:lang w:val="en-US" w:eastAsia="zh-CN"/>
        </w:rPr>
        <w:t>次选聘</w:t>
      </w:r>
      <w:r>
        <w:rPr>
          <w:rFonts w:hint="eastAsia" w:ascii="仿宋_GB2312" w:hAnsi="仿宋_GB2312" w:eastAsia="仿宋_GB2312" w:cs="仿宋_GB2312"/>
          <w:color w:val="auto"/>
          <w:sz w:val="24"/>
          <w:highlight w:val="none"/>
        </w:rPr>
        <w:t>中选或者落选，</w:t>
      </w:r>
      <w:r>
        <w:rPr>
          <w:rFonts w:hint="eastAsia" w:ascii="仿宋_GB2312" w:hAnsi="仿宋_GB2312" w:eastAsia="仿宋_GB2312" w:cs="仿宋_GB2312"/>
          <w:color w:val="auto"/>
          <w:sz w:val="24"/>
          <w:highlight w:val="none"/>
          <w:lang w:val="en-US" w:eastAsia="zh-CN"/>
        </w:rPr>
        <w:t>贵司发送至本单位邮箱：</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中的</w:t>
      </w:r>
      <w:r>
        <w:rPr>
          <w:rFonts w:hint="eastAsia" w:ascii="仿宋_GB2312" w:hAnsi="仿宋_GB2312" w:eastAsia="仿宋_GB2312" w:cs="仿宋_GB2312"/>
          <w:color w:val="auto"/>
          <w:sz w:val="24"/>
          <w:highlight w:val="none"/>
        </w:rPr>
        <w:t>贵司与</w:t>
      </w:r>
      <w:r>
        <w:rPr>
          <w:rFonts w:hint="eastAsia" w:ascii="仿宋_GB2312" w:hAnsi="仿宋_GB2312" w:eastAsia="仿宋_GB2312" w:cs="仿宋_GB2312"/>
          <w:color w:val="auto"/>
          <w:sz w:val="24"/>
          <w:highlight w:val="none"/>
          <w:lang w:val="en-US" w:eastAsia="zh-CN"/>
        </w:rPr>
        <w:t>某公司</w:t>
      </w:r>
      <w:r>
        <w:rPr>
          <w:rFonts w:hint="eastAsia" w:ascii="仿宋_GB2312" w:hAnsi="仿宋_GB2312" w:eastAsia="仿宋_GB2312" w:cs="仿宋_GB2312"/>
          <w:color w:val="auto"/>
          <w:sz w:val="24"/>
          <w:highlight w:val="none"/>
        </w:rPr>
        <w:t>所有涉案材料，将秉承诚实信用原则，充分保护贵公司利益，承诺严格对涉案材料进行保密，未经贵司</w:t>
      </w:r>
      <w:r>
        <w:rPr>
          <w:rFonts w:hint="eastAsia" w:ascii="仿宋_GB2312" w:hAnsi="仿宋_GB2312" w:eastAsia="仿宋_GB2312" w:cs="仿宋_GB2312"/>
          <w:color w:val="auto"/>
          <w:sz w:val="24"/>
          <w:highlight w:val="none"/>
          <w:lang w:val="en-US" w:eastAsia="zh-CN"/>
        </w:rPr>
        <w:t>书面</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不向第三人以任何形式泄露，并采取一切必要、合理的措施进行保密。由于我所原因泄露涉案材料致使贵司合法权益受到侵害，我所愿意赔偿贵司因此所造成的所有损失，贵司有权对我所的违约追究其法律责任。</w:t>
      </w:r>
    </w:p>
    <w:p w14:paraId="26F946A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5.本单位参与本次</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申请，保证不存在以下情形：提供虚假材料谋取中选；采取不正当手段诋毁、排挤其他</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w:t>
      </w:r>
      <w:r>
        <w:rPr>
          <w:rFonts w:hint="eastAsia" w:ascii="仿宋_GB2312" w:hAnsi="仿宋_GB2312" w:eastAsia="仿宋_GB2312" w:cs="仿宋_GB2312"/>
          <w:color w:val="auto"/>
          <w:sz w:val="24"/>
          <w:highlight w:val="none"/>
          <w:lang w:eastAsia="zh-CN"/>
        </w:rPr>
        <w:t>与其他</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申请人恶意串通；向</w:t>
      </w:r>
      <w:r>
        <w:rPr>
          <w:rFonts w:hint="eastAsia" w:ascii="仿宋_GB2312" w:hAnsi="仿宋_GB2312" w:eastAsia="仿宋_GB2312" w:cs="仿宋_GB2312"/>
          <w:color w:val="auto"/>
          <w:sz w:val="24"/>
          <w:highlight w:val="none"/>
          <w:lang w:val="en-US" w:eastAsia="zh-CN"/>
        </w:rPr>
        <w:t>邀请人</w:t>
      </w:r>
      <w:r>
        <w:rPr>
          <w:rFonts w:hint="eastAsia" w:ascii="仿宋_GB2312" w:hAnsi="仿宋_GB2312" w:eastAsia="仿宋_GB2312" w:cs="仿宋_GB2312"/>
          <w:color w:val="auto"/>
          <w:sz w:val="24"/>
          <w:highlight w:val="none"/>
        </w:rPr>
        <w:t>行贿或者提供其他不正当利益；拒绝有关部门监督检查或提供虚假情况；有其他违规行为。</w:t>
      </w:r>
    </w:p>
    <w:p w14:paraId="4D9E473A">
      <w:pPr>
        <w:spacing w:line="460" w:lineRule="exact"/>
        <w:ind w:firstLine="480" w:firstLineChars="2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（单位公章）</w:t>
      </w:r>
    </w:p>
    <w:p w14:paraId="2C552D00">
      <w:pPr>
        <w:spacing w:line="460" w:lineRule="exact"/>
        <w:ind w:firstLine="480" w:firstLineChars="200"/>
        <w:jc w:val="center"/>
        <w:rPr>
          <w:rFonts w:ascii="仿宋_GB2312" w:hAnsi="仿宋_GB2312" w:eastAsia="仿宋_GB2312" w:cs="仿宋_GB2312"/>
          <w:color w:val="auto"/>
          <w:sz w:val="24"/>
          <w:highlight w:val="none"/>
        </w:rPr>
      </w:pPr>
      <w:bookmarkStart w:id="100" w:name="_Toc12441"/>
      <w:r>
        <w:rPr>
          <w:rFonts w:hint="eastAsia" w:ascii="仿宋_GB2312" w:hAnsi="仿宋_GB2312" w:eastAsia="仿宋_GB2312" w:cs="仿宋_GB2312"/>
          <w:color w:val="auto"/>
          <w:sz w:val="24"/>
          <w:highlight w:val="none"/>
        </w:rPr>
        <w:t>法定代表人或授权代表（签字或加盖个人名章）：</w:t>
      </w:r>
      <w:bookmarkEnd w:id="100"/>
      <w:r>
        <w:rPr>
          <w:rFonts w:hint="eastAsia" w:ascii="仿宋_GB2312" w:hAnsi="仿宋_GB2312" w:eastAsia="仿宋_GB2312" w:cs="仿宋_GB2312"/>
          <w:color w:val="auto"/>
          <w:sz w:val="24"/>
          <w:highlight w:val="none"/>
          <w:u w:val="single"/>
        </w:rPr>
        <w:t xml:space="preserve">        </w:t>
      </w:r>
    </w:p>
    <w:p w14:paraId="2F510BAE">
      <w:pPr>
        <w:keepNext/>
        <w:keepLines/>
        <w:widowControl w:val="0"/>
        <w:spacing w:before="340" w:after="330" w:line="460" w:lineRule="exact"/>
        <w:jc w:val="right"/>
        <w:outlineLvl w:val="0"/>
        <w:rPr>
          <w:rFonts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日    期：   年   月   日</w:t>
      </w:r>
    </w:p>
    <w:p w14:paraId="3908A105">
      <w:pPr>
        <w:keepNext/>
        <w:keepLines/>
        <w:widowControl w:val="0"/>
        <w:spacing w:before="340" w:after="330" w:line="460" w:lineRule="exact"/>
        <w:jc w:val="left"/>
        <w:outlineLvl w:val="0"/>
        <w:rPr>
          <w:rFonts w:ascii="仿宋_GB2312" w:hAnsi="仿宋_GB2312" w:eastAsia="仿宋_GB2312" w:cs="仿宋_GB2312"/>
          <w:b/>
          <w:bCs/>
          <w:color w:val="auto"/>
          <w:kern w:val="44"/>
          <w:sz w:val="24"/>
          <w:szCs w:val="24"/>
          <w:highlight w:val="none"/>
          <w:lang w:val="en-US" w:eastAsia="zh-CN" w:bidi="ar-SA"/>
        </w:rPr>
      </w:pPr>
      <w:r>
        <w:rPr>
          <w:rFonts w:hint="eastAsia" w:ascii="仿宋_GB2312" w:hAnsi="仿宋_GB2312" w:eastAsia="仿宋_GB2312" w:cs="仿宋_GB2312"/>
          <w:b/>
          <w:bCs/>
          <w:color w:val="auto"/>
          <w:kern w:val="44"/>
          <w:sz w:val="24"/>
          <w:szCs w:val="24"/>
          <w:highlight w:val="none"/>
          <w:lang w:val="en-US" w:eastAsia="zh-CN" w:bidi="ar-SA"/>
        </w:rPr>
        <w:br w:type="page"/>
      </w:r>
      <w:r>
        <w:rPr>
          <w:rFonts w:hint="eastAsia" w:ascii="仿宋_GB2312" w:hAnsi="仿宋_GB2312" w:eastAsia="仿宋_GB2312" w:cs="仿宋_GB2312"/>
          <w:b/>
          <w:bCs/>
          <w:color w:val="auto"/>
          <w:kern w:val="28"/>
          <w:sz w:val="30"/>
          <w:szCs w:val="30"/>
          <w:highlight w:val="none"/>
          <w:lang w:val="en-US" w:eastAsia="zh-CN" w:bidi="ar-SA"/>
        </w:rPr>
        <w:t>五、</w:t>
      </w:r>
      <w:r>
        <w:rPr>
          <w:rFonts w:hint="eastAsia" w:ascii="仿宋_GB2312" w:hAnsi="仿宋_GB2312" w:eastAsia="仿宋_GB2312" w:cs="仿宋_GB2312"/>
          <w:b/>
          <w:bCs/>
          <w:color w:val="auto"/>
          <w:sz w:val="32"/>
          <w:szCs w:val="32"/>
          <w:highlight w:val="none"/>
          <w:lang w:val="en-US" w:eastAsia="zh-CN"/>
        </w:rPr>
        <w:t>竞争性谈判</w:t>
      </w:r>
      <w:r>
        <w:rPr>
          <w:rFonts w:hint="eastAsia" w:ascii="仿宋_GB2312" w:hAnsi="仿宋_GB2312" w:eastAsia="仿宋_GB2312" w:cs="仿宋_GB2312"/>
          <w:b/>
          <w:bCs/>
          <w:color w:val="auto"/>
          <w:kern w:val="28"/>
          <w:sz w:val="30"/>
          <w:szCs w:val="30"/>
          <w:highlight w:val="none"/>
          <w:lang w:val="en-US" w:eastAsia="zh-CN" w:bidi="ar-SA"/>
        </w:rPr>
        <w:t>报价表格式</w:t>
      </w:r>
    </w:p>
    <w:p w14:paraId="34CA30CC">
      <w:pPr>
        <w:spacing w:line="4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lang w:val="en-US" w:eastAsia="zh-CN"/>
        </w:rPr>
        <w:t>竞争性谈判</w:t>
      </w:r>
      <w:r>
        <w:rPr>
          <w:rFonts w:hint="eastAsia" w:ascii="仿宋_GB2312" w:hAnsi="仿宋_GB2312" w:eastAsia="仿宋_GB2312" w:cs="仿宋_GB2312"/>
          <w:b/>
          <w:color w:val="auto"/>
          <w:sz w:val="24"/>
          <w:highlight w:val="none"/>
        </w:rPr>
        <w:t>报价表</w:t>
      </w:r>
    </w:p>
    <w:p w14:paraId="63249CB5">
      <w:pPr>
        <w:spacing w:before="312" w:beforeLines="100" w:line="460" w:lineRule="exact"/>
        <w:rPr>
          <w:rFonts w:ascii="仿宋_GB2312" w:hAnsi="仿宋_GB2312" w:eastAsia="仿宋_GB2312" w:cs="仿宋_GB2312"/>
          <w:color w:val="auto"/>
          <w:sz w:val="24"/>
          <w:highlight w:val="none"/>
        </w:rPr>
      </w:pPr>
    </w:p>
    <w:tbl>
      <w:tblPr>
        <w:tblStyle w:val="7"/>
        <w:tblW w:w="844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3"/>
      </w:tblGrid>
      <w:tr w14:paraId="241B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443" w:type="dxa"/>
          </w:tcPr>
          <w:p w14:paraId="397FAE8A">
            <w:pPr>
              <w:spacing w:before="312" w:beforeLines="100"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风险代理费（单位：元）</w:t>
            </w:r>
          </w:p>
        </w:tc>
      </w:tr>
      <w:tr w14:paraId="6358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443" w:type="dxa"/>
            <w:vAlign w:val="center"/>
          </w:tcPr>
          <w:p w14:paraId="2D6BE366">
            <w:pPr>
              <w:spacing w:before="312" w:beforeLines="100" w:line="460" w:lineRule="exact"/>
              <w:jc w:val="center"/>
              <w:rPr>
                <w:rFonts w:ascii="仿宋_GB2312" w:hAnsi="仿宋_GB2312" w:eastAsia="仿宋_GB2312" w:cs="仿宋_GB2312"/>
                <w:color w:val="auto"/>
                <w:sz w:val="24"/>
                <w:highlight w:val="none"/>
              </w:rPr>
            </w:pPr>
          </w:p>
        </w:tc>
      </w:tr>
    </w:tbl>
    <w:p w14:paraId="16E5CEF6">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5D282532">
      <w:pPr>
        <w:widowControl/>
        <w:spacing w:line="460" w:lineRule="exact"/>
        <w:jc w:val="left"/>
        <w:rPr>
          <w:rFonts w:ascii="仿宋_GB2312" w:hAnsi="仿宋_GB2312" w:eastAsia="仿宋_GB2312" w:cs="仿宋_GB2312"/>
          <w:color w:val="auto"/>
          <w:sz w:val="24"/>
          <w:highlight w:val="none"/>
        </w:rPr>
      </w:pPr>
    </w:p>
    <w:p w14:paraId="6EA5E5EF">
      <w:pPr>
        <w:widowControl/>
        <w:spacing w:line="460" w:lineRule="exact"/>
        <w:jc w:val="left"/>
        <w:rPr>
          <w:rFonts w:ascii="仿宋_GB2312" w:hAnsi="仿宋_GB2312" w:eastAsia="仿宋_GB2312" w:cs="仿宋_GB2312"/>
          <w:color w:val="auto"/>
          <w:sz w:val="24"/>
          <w:highlight w:val="none"/>
        </w:rPr>
      </w:pPr>
    </w:p>
    <w:p w14:paraId="7F093091">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bookmarkStart w:id="101" w:name="_Toc19269"/>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竞争性谈判</w:t>
      </w:r>
      <w:r>
        <w:rPr>
          <w:rFonts w:hint="eastAsia" w:ascii="仿宋_GB2312" w:hAnsi="仿宋_GB2312" w:eastAsia="仿宋_GB2312" w:cs="仿宋_GB2312"/>
          <w:color w:val="auto"/>
          <w:sz w:val="24"/>
          <w:highlight w:val="none"/>
        </w:rPr>
        <w:t>申请人（单位公章）：</w:t>
      </w:r>
      <w:bookmarkEnd w:id="101"/>
      <w:r>
        <w:rPr>
          <w:rFonts w:hint="eastAsia" w:ascii="仿宋_GB2312" w:hAnsi="仿宋_GB2312" w:eastAsia="仿宋_GB2312" w:cs="仿宋_GB2312"/>
          <w:color w:val="auto"/>
          <w:sz w:val="24"/>
          <w:highlight w:val="none"/>
        </w:rPr>
        <w:t xml:space="preserve"> </w:t>
      </w:r>
    </w:p>
    <w:p w14:paraId="6B518F0D">
      <w:pPr>
        <w:spacing w:line="460" w:lineRule="exact"/>
        <w:ind w:firstLine="480" w:firstLineChars="200"/>
        <w:jc w:val="center"/>
        <w:rPr>
          <w:rFonts w:ascii="仿宋_GB2312" w:hAnsi="仿宋_GB2312" w:eastAsia="仿宋_GB2312" w:cs="仿宋_GB2312"/>
          <w:color w:val="auto"/>
          <w:sz w:val="24"/>
          <w:highlight w:val="none"/>
        </w:rPr>
      </w:pPr>
      <w:bookmarkStart w:id="102" w:name="_Toc2864"/>
      <w:r>
        <w:rPr>
          <w:rFonts w:hint="eastAsia" w:ascii="仿宋_GB2312" w:hAnsi="仿宋_GB2312" w:eastAsia="仿宋_GB2312" w:cs="仿宋_GB2312"/>
          <w:color w:val="auto"/>
          <w:sz w:val="24"/>
          <w:highlight w:val="none"/>
        </w:rPr>
        <w:t xml:space="preserve">                         法定代表人/授权代表（签字或盖章）：</w:t>
      </w:r>
      <w:bookmarkEnd w:id="102"/>
      <w:bookmarkStart w:id="103" w:name="_Toc26537"/>
    </w:p>
    <w:p w14:paraId="2E057DEB">
      <w:pPr>
        <w:spacing w:line="460" w:lineRule="exact"/>
        <w:ind w:firstLine="3840" w:firstLineChars="160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bookmarkEnd w:id="103"/>
      <w:r>
        <w:rPr>
          <w:rFonts w:hint="eastAsia" w:ascii="仿宋_GB2312" w:hAnsi="仿宋_GB2312" w:eastAsia="仿宋_GB2312" w:cs="仿宋_GB2312"/>
          <w:color w:val="auto"/>
          <w:sz w:val="24"/>
          <w:highlight w:val="none"/>
        </w:rPr>
        <w:t xml:space="preserve"> </w:t>
      </w:r>
    </w:p>
    <w:p w14:paraId="45C74F48">
      <w:pPr>
        <w:widowControl/>
        <w:spacing w:line="460" w:lineRule="exact"/>
        <w:jc w:val="left"/>
        <w:rPr>
          <w:rFonts w:ascii="仿宋_GB2312" w:hAnsi="仿宋_GB2312" w:eastAsia="仿宋_GB2312" w:cs="仿宋_GB2312"/>
          <w:color w:val="auto"/>
          <w:sz w:val="24"/>
          <w:highlight w:val="none"/>
        </w:rPr>
      </w:pPr>
    </w:p>
    <w:p w14:paraId="72CDF9D8">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104" w:name="_Toc24016"/>
      <w:bookmarkStart w:id="105" w:name="_Toc15800"/>
      <w:bookmarkStart w:id="106" w:name="_Toc5495"/>
      <w:bookmarkStart w:id="107" w:name="_Toc25342"/>
      <w:bookmarkStart w:id="108" w:name="_Toc8182"/>
      <w:r>
        <w:rPr>
          <w:rFonts w:hint="eastAsia" w:ascii="仿宋_GB2312" w:hAnsi="仿宋_GB2312" w:eastAsia="仿宋_GB2312" w:cs="仿宋_GB2312"/>
          <w:b/>
          <w:bCs/>
          <w:color w:val="auto"/>
          <w:kern w:val="28"/>
          <w:sz w:val="30"/>
          <w:szCs w:val="30"/>
          <w:highlight w:val="none"/>
          <w:lang w:val="en-US" w:eastAsia="zh-CN" w:bidi="ar-SA"/>
        </w:rPr>
        <w:t>六、</w:t>
      </w:r>
      <w:r>
        <w:rPr>
          <w:rFonts w:hint="eastAsia" w:ascii="仿宋_GB2312" w:hAnsi="仿宋_GB2312" w:eastAsia="仿宋_GB2312" w:cs="仿宋_GB2312"/>
          <w:b/>
          <w:bCs/>
          <w:color w:val="auto"/>
          <w:sz w:val="32"/>
          <w:szCs w:val="32"/>
          <w:highlight w:val="none"/>
          <w:lang w:val="en-US" w:eastAsia="zh-CN"/>
        </w:rPr>
        <w:t>竞争性谈判</w:t>
      </w:r>
      <w:r>
        <w:rPr>
          <w:rFonts w:ascii="仿宋_GB2312" w:hAnsi="仿宋_GB2312" w:eastAsia="仿宋_GB2312" w:cs="仿宋_GB2312"/>
          <w:b/>
          <w:bCs/>
          <w:color w:val="auto"/>
          <w:kern w:val="28"/>
          <w:sz w:val="30"/>
          <w:szCs w:val="30"/>
          <w:highlight w:val="none"/>
          <w:lang w:val="en-US" w:eastAsia="zh-CN" w:bidi="ar-SA"/>
        </w:rPr>
        <w:t>申请人基本情况表</w:t>
      </w:r>
    </w:p>
    <w:tbl>
      <w:tblPr>
        <w:tblStyle w:val="7"/>
        <w:tblW w:w="8932" w:type="dxa"/>
        <w:jc w:val="center"/>
        <w:tblLayout w:type="fixed"/>
        <w:tblCellMar>
          <w:top w:w="0" w:type="dxa"/>
          <w:left w:w="108" w:type="dxa"/>
          <w:bottom w:w="0" w:type="dxa"/>
          <w:right w:w="108" w:type="dxa"/>
        </w:tblCellMar>
      </w:tblPr>
      <w:tblGrid>
        <w:gridCol w:w="1706"/>
        <w:gridCol w:w="1187"/>
        <w:gridCol w:w="1233"/>
        <w:gridCol w:w="1680"/>
        <w:gridCol w:w="1320"/>
        <w:gridCol w:w="1806"/>
      </w:tblGrid>
      <w:tr w14:paraId="6F1A070A">
        <w:tblPrEx>
          <w:tblCellMar>
            <w:top w:w="0" w:type="dxa"/>
            <w:left w:w="108" w:type="dxa"/>
            <w:bottom w:w="0" w:type="dxa"/>
            <w:right w:w="108" w:type="dxa"/>
          </w:tblCellMar>
        </w:tblPrEx>
        <w:trPr>
          <w:trHeight w:val="80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0C4CC0B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竞争性谈判</w:t>
            </w:r>
            <w:r>
              <w:rPr>
                <w:rFonts w:ascii="仿宋_GB2312" w:hAnsi="仿宋_GB2312" w:eastAsia="仿宋_GB2312" w:cs="仿宋_GB2312"/>
                <w:color w:val="auto"/>
                <w:kern w:val="2"/>
                <w:sz w:val="24"/>
                <w:szCs w:val="24"/>
                <w:highlight w:val="none"/>
                <w:lang w:val="en-US" w:eastAsia="zh-CN" w:bidi="ar-SA"/>
              </w:rPr>
              <w:t>申请人名称</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1FA95FC0">
            <w:pPr>
              <w:spacing w:before="156" w:beforeLines="50" w:after="156" w:afterLines="50" w:line="360" w:lineRule="exact"/>
              <w:rPr>
                <w:rFonts w:ascii="仿宋_GB2312" w:hAnsi="仿宋_GB2312" w:eastAsia="仿宋_GB2312" w:cs="仿宋_GB2312"/>
                <w:color w:val="auto"/>
                <w:sz w:val="24"/>
                <w:highlight w:val="none"/>
              </w:rPr>
            </w:pPr>
          </w:p>
        </w:tc>
      </w:tr>
      <w:tr w14:paraId="46C4B1E5">
        <w:tblPrEx>
          <w:tblCellMar>
            <w:top w:w="0" w:type="dxa"/>
            <w:left w:w="108" w:type="dxa"/>
            <w:bottom w:w="0" w:type="dxa"/>
            <w:right w:w="108" w:type="dxa"/>
          </w:tblCellMar>
        </w:tblPrEx>
        <w:trPr>
          <w:trHeight w:val="481"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ADD1454">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注册地址</w:t>
            </w:r>
          </w:p>
        </w:tc>
        <w:tc>
          <w:tcPr>
            <w:tcW w:w="4100" w:type="dxa"/>
            <w:gridSpan w:val="3"/>
            <w:tcBorders>
              <w:top w:val="single" w:color="000000" w:sz="4" w:space="0"/>
              <w:left w:val="single" w:color="000000" w:sz="4" w:space="0"/>
              <w:bottom w:val="single" w:color="000000" w:sz="4" w:space="0"/>
              <w:right w:val="single" w:color="000000" w:sz="4" w:space="0"/>
            </w:tcBorders>
            <w:vAlign w:val="center"/>
          </w:tcPr>
          <w:p w14:paraId="297A7F93">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2" w:space="0"/>
            </w:tcBorders>
            <w:vAlign w:val="center"/>
          </w:tcPr>
          <w:p w14:paraId="5F8DBDC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邮政编码</w:t>
            </w:r>
          </w:p>
        </w:tc>
        <w:tc>
          <w:tcPr>
            <w:tcW w:w="1806" w:type="dxa"/>
            <w:tcBorders>
              <w:top w:val="single" w:color="000000" w:sz="4" w:space="0"/>
              <w:left w:val="single" w:color="000000" w:sz="2" w:space="0"/>
              <w:bottom w:val="single" w:color="000000" w:sz="4" w:space="0"/>
              <w:right w:val="single" w:color="000000" w:sz="4" w:space="0"/>
            </w:tcBorders>
            <w:vAlign w:val="center"/>
          </w:tcPr>
          <w:p w14:paraId="269784FD">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6182EB68">
        <w:tblPrEx>
          <w:tblCellMar>
            <w:top w:w="0" w:type="dxa"/>
            <w:left w:w="108" w:type="dxa"/>
            <w:bottom w:w="0" w:type="dxa"/>
            <w:right w:w="108" w:type="dxa"/>
          </w:tblCellMar>
        </w:tblPrEx>
        <w:trPr>
          <w:trHeight w:val="588" w:hRule="exact"/>
          <w:jc w:val="center"/>
        </w:trPr>
        <w:tc>
          <w:tcPr>
            <w:tcW w:w="1706" w:type="dxa"/>
            <w:vMerge w:val="restart"/>
            <w:tcBorders>
              <w:top w:val="single" w:color="000000" w:sz="4" w:space="0"/>
              <w:left w:val="single" w:color="000000" w:sz="4" w:space="0"/>
              <w:right w:val="single" w:color="000000" w:sz="4" w:space="0"/>
            </w:tcBorders>
            <w:vAlign w:val="center"/>
          </w:tcPr>
          <w:p w14:paraId="28A9A9E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联系方式</w:t>
            </w:r>
          </w:p>
        </w:tc>
        <w:tc>
          <w:tcPr>
            <w:tcW w:w="1187" w:type="dxa"/>
            <w:tcBorders>
              <w:top w:val="single" w:color="000000" w:sz="4" w:space="0"/>
              <w:left w:val="single" w:color="000000" w:sz="4" w:space="0"/>
              <w:bottom w:val="single" w:color="000000" w:sz="2" w:space="0"/>
              <w:right w:val="single" w:color="000000" w:sz="4" w:space="0"/>
            </w:tcBorders>
            <w:vAlign w:val="center"/>
          </w:tcPr>
          <w:p w14:paraId="2440E414">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联系人</w:t>
            </w:r>
          </w:p>
        </w:tc>
        <w:tc>
          <w:tcPr>
            <w:tcW w:w="2913" w:type="dxa"/>
            <w:gridSpan w:val="2"/>
            <w:tcBorders>
              <w:top w:val="single" w:color="000000" w:sz="4" w:space="0"/>
              <w:left w:val="single" w:color="000000" w:sz="4" w:space="0"/>
              <w:bottom w:val="single" w:color="000000" w:sz="2" w:space="0"/>
              <w:right w:val="single" w:color="000000" w:sz="4" w:space="0"/>
            </w:tcBorders>
            <w:vAlign w:val="center"/>
          </w:tcPr>
          <w:p w14:paraId="6D7BF635">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2" w:space="0"/>
              <w:right w:val="single" w:color="000000" w:sz="2" w:space="0"/>
            </w:tcBorders>
            <w:vAlign w:val="center"/>
          </w:tcPr>
          <w:p w14:paraId="03DFD753">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电话</w:t>
            </w:r>
          </w:p>
        </w:tc>
        <w:tc>
          <w:tcPr>
            <w:tcW w:w="1806" w:type="dxa"/>
            <w:tcBorders>
              <w:top w:val="single" w:color="000000" w:sz="4" w:space="0"/>
              <w:left w:val="single" w:color="000000" w:sz="2" w:space="0"/>
              <w:bottom w:val="single" w:color="000000" w:sz="2" w:space="0"/>
              <w:right w:val="single" w:color="000000" w:sz="4" w:space="0"/>
            </w:tcBorders>
            <w:vAlign w:val="center"/>
          </w:tcPr>
          <w:p w14:paraId="31696698">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1C6F8DE2">
        <w:tblPrEx>
          <w:tblCellMar>
            <w:top w:w="0" w:type="dxa"/>
            <w:left w:w="108" w:type="dxa"/>
            <w:bottom w:w="0" w:type="dxa"/>
            <w:right w:w="108" w:type="dxa"/>
          </w:tblCellMar>
        </w:tblPrEx>
        <w:trPr>
          <w:trHeight w:val="508" w:hRule="exact"/>
          <w:jc w:val="center"/>
        </w:trPr>
        <w:tc>
          <w:tcPr>
            <w:tcW w:w="1706" w:type="dxa"/>
            <w:vMerge w:val="continue"/>
            <w:tcBorders>
              <w:left w:val="single" w:color="000000" w:sz="4" w:space="0"/>
              <w:bottom w:val="single" w:color="000000" w:sz="4" w:space="0"/>
              <w:right w:val="single" w:color="000000" w:sz="4" w:space="0"/>
            </w:tcBorders>
            <w:vAlign w:val="center"/>
          </w:tcPr>
          <w:p w14:paraId="5DDD413F">
            <w:pPr>
              <w:spacing w:before="156" w:beforeLines="50" w:after="156" w:afterLines="50" w:line="360" w:lineRule="exact"/>
              <w:jc w:val="center"/>
              <w:rPr>
                <w:rFonts w:ascii="仿宋_GB2312" w:hAnsi="仿宋_GB2312" w:eastAsia="仿宋_GB2312" w:cs="仿宋_GB2312"/>
                <w:color w:val="auto"/>
                <w:sz w:val="24"/>
                <w:highlight w:val="none"/>
              </w:rPr>
            </w:pPr>
          </w:p>
        </w:tc>
        <w:tc>
          <w:tcPr>
            <w:tcW w:w="1187" w:type="dxa"/>
            <w:tcBorders>
              <w:top w:val="single" w:color="000000" w:sz="2" w:space="0"/>
              <w:left w:val="single" w:color="000000" w:sz="4" w:space="0"/>
              <w:bottom w:val="single" w:color="000000" w:sz="4" w:space="0"/>
              <w:right w:val="single" w:color="000000" w:sz="4" w:space="0"/>
            </w:tcBorders>
            <w:vAlign w:val="center"/>
          </w:tcPr>
          <w:p w14:paraId="73C2B8EE">
            <w:pPr>
              <w:widowControl w:val="0"/>
              <w:tabs>
                <w:tab w:val="left" w:pos="241"/>
              </w:tabs>
              <w:spacing w:before="156" w:beforeLines="50" w:after="156" w:afterLines="50" w:line="360" w:lineRule="exact"/>
              <w:jc w:val="both"/>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电子邮件</w:t>
            </w:r>
          </w:p>
        </w:tc>
        <w:tc>
          <w:tcPr>
            <w:tcW w:w="6039" w:type="dxa"/>
            <w:gridSpan w:val="4"/>
            <w:tcBorders>
              <w:top w:val="single" w:color="000000" w:sz="2" w:space="0"/>
              <w:left w:val="single" w:color="000000" w:sz="4" w:space="0"/>
              <w:bottom w:val="single" w:color="000000" w:sz="4" w:space="0"/>
              <w:right w:val="single" w:color="000000" w:sz="4" w:space="0"/>
            </w:tcBorders>
            <w:vAlign w:val="center"/>
          </w:tcPr>
          <w:p w14:paraId="01C76074">
            <w:pPr>
              <w:spacing w:before="156" w:beforeLines="50" w:after="156" w:afterLines="50" w:line="360" w:lineRule="exact"/>
              <w:rPr>
                <w:rFonts w:ascii="仿宋_GB2312" w:hAnsi="仿宋_GB2312" w:eastAsia="仿宋_GB2312" w:cs="仿宋_GB2312"/>
                <w:color w:val="auto"/>
                <w:sz w:val="24"/>
                <w:highlight w:val="none"/>
              </w:rPr>
            </w:pPr>
          </w:p>
        </w:tc>
      </w:tr>
      <w:tr w14:paraId="79F4589C">
        <w:tblPrEx>
          <w:tblCellMar>
            <w:top w:w="0" w:type="dxa"/>
            <w:left w:w="108" w:type="dxa"/>
            <w:bottom w:w="0" w:type="dxa"/>
            <w:right w:w="108" w:type="dxa"/>
          </w:tblCellMar>
        </w:tblPrEx>
        <w:trPr>
          <w:trHeight w:val="567"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D9AE3E2">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法定代表人</w:t>
            </w:r>
          </w:p>
        </w:tc>
        <w:tc>
          <w:tcPr>
            <w:tcW w:w="1187" w:type="dxa"/>
            <w:tcBorders>
              <w:top w:val="single" w:color="000000" w:sz="4" w:space="0"/>
              <w:left w:val="single" w:color="000000" w:sz="4" w:space="0"/>
              <w:bottom w:val="single" w:color="000000" w:sz="4" w:space="0"/>
              <w:right w:val="single" w:color="000000" w:sz="4" w:space="0"/>
            </w:tcBorders>
            <w:vAlign w:val="center"/>
          </w:tcPr>
          <w:p w14:paraId="16E23E8B">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姓名</w:t>
            </w:r>
          </w:p>
        </w:tc>
        <w:tc>
          <w:tcPr>
            <w:tcW w:w="1233" w:type="dxa"/>
            <w:tcBorders>
              <w:top w:val="single" w:color="000000" w:sz="4" w:space="0"/>
              <w:left w:val="single" w:color="000000" w:sz="4" w:space="0"/>
              <w:bottom w:val="single" w:color="000000" w:sz="4" w:space="0"/>
              <w:right w:val="single" w:color="000000" w:sz="4" w:space="0"/>
            </w:tcBorders>
            <w:vAlign w:val="center"/>
          </w:tcPr>
          <w:p w14:paraId="56F997C1">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26AEDF5">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身份证号码</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6B874DED">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585A206B">
        <w:tblPrEx>
          <w:tblCellMar>
            <w:top w:w="0" w:type="dxa"/>
            <w:left w:w="108" w:type="dxa"/>
            <w:bottom w:w="0" w:type="dxa"/>
            <w:right w:w="108" w:type="dxa"/>
          </w:tblCellMar>
        </w:tblPrEx>
        <w:trPr>
          <w:trHeight w:val="856"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6D727C7">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统一社会信用代码</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60579357">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1E709EBF">
        <w:tblPrEx>
          <w:tblCellMar>
            <w:top w:w="0" w:type="dxa"/>
            <w:left w:w="108" w:type="dxa"/>
            <w:bottom w:w="0" w:type="dxa"/>
            <w:right w:w="108" w:type="dxa"/>
          </w:tblCellMar>
        </w:tblPrEx>
        <w:trPr>
          <w:trHeight w:val="564"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0D0A708">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成立日期</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20434A92">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39F47BA">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基本开户银行</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19F450FF">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3E2CEB12">
        <w:tblPrEx>
          <w:tblCellMar>
            <w:top w:w="0" w:type="dxa"/>
            <w:left w:w="108" w:type="dxa"/>
            <w:bottom w:w="0" w:type="dxa"/>
            <w:right w:w="108" w:type="dxa"/>
          </w:tblCellMar>
        </w:tblPrEx>
        <w:trPr>
          <w:trHeight w:val="56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693A6A1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基本银行账</w:t>
            </w:r>
            <w:r>
              <w:rPr>
                <w:rFonts w:hint="eastAsia" w:ascii="仿宋_GB2312" w:hAnsi="仿宋_GB2312" w:eastAsia="仿宋_GB2312" w:cs="仿宋_GB2312"/>
                <w:color w:val="auto"/>
                <w:kern w:val="2"/>
                <w:sz w:val="24"/>
                <w:szCs w:val="24"/>
                <w:highlight w:val="none"/>
                <w:lang w:val="en-US" w:eastAsia="zh-CN" w:bidi="ar-SA"/>
              </w:rPr>
              <w:t>户</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27A6D91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3F06BA77">
        <w:tblPrEx>
          <w:tblCellMar>
            <w:top w:w="0" w:type="dxa"/>
            <w:left w:w="108" w:type="dxa"/>
            <w:bottom w:w="0" w:type="dxa"/>
            <w:right w:w="108" w:type="dxa"/>
          </w:tblCellMar>
        </w:tblPrEx>
        <w:trPr>
          <w:trHeight w:val="55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54B9B1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备注</w:t>
            </w:r>
          </w:p>
        </w:tc>
        <w:tc>
          <w:tcPr>
            <w:tcW w:w="7226" w:type="dxa"/>
            <w:gridSpan w:val="5"/>
            <w:tcBorders>
              <w:top w:val="single" w:color="000000" w:sz="4" w:space="0"/>
              <w:left w:val="single" w:color="000000" w:sz="4" w:space="0"/>
              <w:bottom w:val="single" w:color="000000" w:sz="4" w:space="0"/>
              <w:right w:val="single" w:color="000000" w:sz="4" w:space="0"/>
            </w:tcBorders>
          </w:tcPr>
          <w:p w14:paraId="166690C1">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bl>
    <w:p w14:paraId="1B74CD11">
      <w:pPr>
        <w:spacing w:line="600" w:lineRule="exact"/>
        <w:rPr>
          <w:rFonts w:ascii="Times New Roman" w:hAnsi="Times New Roman" w:eastAsia="仿宋" w:cs="Times New Roman"/>
          <w:color w:val="auto"/>
          <w:sz w:val="28"/>
          <w:szCs w:val="28"/>
          <w:highlight w:val="none"/>
        </w:rPr>
      </w:pPr>
    </w:p>
    <w:p w14:paraId="79801D7B">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竞争性谈判</w:t>
      </w:r>
      <w:r>
        <w:rPr>
          <w:rFonts w:ascii="仿宋_GB2312" w:hAnsi="仿宋_GB2312" w:eastAsia="仿宋_GB2312" w:cs="仿宋_GB2312"/>
          <w:color w:val="auto"/>
          <w:sz w:val="24"/>
          <w:highlight w:val="none"/>
        </w:rPr>
        <w:t xml:space="preserve">申请人（单位公章）： </w:t>
      </w:r>
    </w:p>
    <w:p w14:paraId="7EC3E0F9">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法定代表人/授权代表</w:t>
      </w:r>
      <w:r>
        <w:rPr>
          <w:rFonts w:ascii="仿宋_GB2312" w:hAnsi="仿宋_GB2312" w:eastAsia="仿宋_GB2312" w:cs="仿宋_GB2312"/>
          <w:color w:val="auto"/>
          <w:sz w:val="24"/>
          <w:highlight w:val="none"/>
        </w:rPr>
        <w:t xml:space="preserve">（签字）：               </w:t>
      </w:r>
    </w:p>
    <w:p w14:paraId="7E7CA76B">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日 期：</w:t>
      </w:r>
    </w:p>
    <w:p w14:paraId="2A109AB7">
      <w:pPr>
        <w:keepNext/>
        <w:keepLines/>
        <w:widowControl w:val="0"/>
        <w:ind w:firstLine="880"/>
        <w:jc w:val="both"/>
        <w:outlineLvl w:val="3"/>
        <w:rPr>
          <w:rFonts w:ascii="仿宋_GB2312" w:hAnsi="仿宋_GB2312" w:eastAsia="仿宋_GB2312" w:cs="仿宋_GB2312"/>
          <w:color w:val="auto"/>
          <w:kern w:val="2"/>
          <w:sz w:val="30"/>
          <w:szCs w:val="30"/>
          <w:highlight w:val="none"/>
          <w:lang w:val="en-US" w:eastAsia="zh-CN" w:bidi="ar-SA"/>
        </w:rPr>
      </w:pPr>
    </w:p>
    <w:p w14:paraId="237DDBF9">
      <w:pPr>
        <w:rPr>
          <w:color w:val="auto"/>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73EF5C1F">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七、合法有效律师事务所执业许可证，以及国家法律法规要求的相关从业资质</w:t>
      </w:r>
    </w:p>
    <w:p w14:paraId="4C9FF5A5">
      <w:pPr>
        <w:rPr>
          <w:rFonts w:ascii="仿宋_GB2312" w:hAnsi="仿宋_GB2312" w:eastAsia="仿宋_GB2312" w:cs="仿宋_GB2312"/>
          <w:color w:val="auto"/>
          <w:sz w:val="30"/>
          <w:szCs w:val="30"/>
          <w:highlight w:val="none"/>
        </w:rPr>
      </w:pPr>
    </w:p>
    <w:p w14:paraId="36939EB8">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41383F47">
      <w:pPr>
        <w:widowControl w:val="0"/>
        <w:numPr>
          <w:ilvl w:val="0"/>
          <w:numId w:val="2"/>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具有注册专职律师数量相关证明材料</w:t>
      </w:r>
    </w:p>
    <w:p w14:paraId="77635360">
      <w:pPr>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br w:type="page"/>
      </w:r>
    </w:p>
    <w:p w14:paraId="33075727">
      <w:pPr>
        <w:widowControl w:val="0"/>
        <w:numPr>
          <w:ilvl w:val="0"/>
          <w:numId w:val="2"/>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近三年未受到司法行政部门的行政处罚和律师协会的行业处分，近三年提供的法律服务未因重大执业质量等问题受到省国资委的通报（提供司法局律师工作处证明及四川省国资委网站截图）</w:t>
      </w:r>
    </w:p>
    <w:p w14:paraId="517E39F2">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1D3823F4">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十、服务方案（包括团队构成及成员基本情况</w:t>
      </w:r>
      <w:bookmarkEnd w:id="104"/>
      <w:bookmarkEnd w:id="105"/>
      <w:bookmarkEnd w:id="106"/>
      <w:bookmarkEnd w:id="107"/>
      <w:bookmarkEnd w:id="108"/>
      <w:r>
        <w:rPr>
          <w:rFonts w:hint="eastAsia" w:ascii="仿宋_GB2312" w:hAnsi="仿宋_GB2312" w:eastAsia="仿宋_GB2312" w:cs="仿宋_GB2312"/>
          <w:b/>
          <w:bCs/>
          <w:color w:val="auto"/>
          <w:kern w:val="28"/>
          <w:sz w:val="30"/>
          <w:szCs w:val="30"/>
          <w:highlight w:val="none"/>
          <w:lang w:val="en-US" w:eastAsia="zh-CN" w:bidi="ar-SA"/>
        </w:rPr>
        <w:t>）</w:t>
      </w:r>
    </w:p>
    <w:p w14:paraId="4DC11E6A">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叙述</w:t>
      </w:r>
      <w:r>
        <w:rPr>
          <w:rFonts w:hint="eastAsia" w:ascii="仿宋_GB2312" w:hAnsi="仿宋_GB2312" w:eastAsia="仿宋_GB2312" w:cs="仿宋_GB2312"/>
          <w:color w:val="auto"/>
          <w:sz w:val="24"/>
          <w:highlight w:val="none"/>
        </w:rPr>
        <w:t>项目服务方案，服务方案应包含以下人员情况介绍。</w:t>
      </w:r>
    </w:p>
    <w:p w14:paraId="664233BB">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一、团队负责人及主要参与人员基本情况</w:t>
      </w:r>
    </w:p>
    <w:tbl>
      <w:tblPr>
        <w:tblStyle w:val="7"/>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14:paraId="24CF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25C878B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910" w:type="dxa"/>
            <w:vAlign w:val="center"/>
          </w:tcPr>
          <w:p w14:paraId="381E0FB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519" w:type="dxa"/>
            <w:vAlign w:val="center"/>
          </w:tcPr>
          <w:p w14:paraId="050FD873">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类似工作</w:t>
            </w:r>
          </w:p>
          <w:p w14:paraId="2BBB38F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经验年限</w:t>
            </w:r>
          </w:p>
        </w:tc>
        <w:tc>
          <w:tcPr>
            <w:tcW w:w="1804" w:type="dxa"/>
            <w:vAlign w:val="center"/>
          </w:tcPr>
          <w:p w14:paraId="3BCC1E7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拟任职务</w:t>
            </w:r>
          </w:p>
        </w:tc>
        <w:tc>
          <w:tcPr>
            <w:tcW w:w="1942" w:type="dxa"/>
            <w:vAlign w:val="center"/>
          </w:tcPr>
          <w:p w14:paraId="7638AC6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法律服务</w:t>
            </w:r>
          </w:p>
          <w:p w14:paraId="7F46C41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经验业绩</w:t>
            </w:r>
          </w:p>
        </w:tc>
      </w:tr>
      <w:tr w14:paraId="4A6A2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15" w:type="dxa"/>
            <w:vAlign w:val="center"/>
          </w:tcPr>
          <w:p w14:paraId="226088ED">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32ADC47E">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0BB412E2">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5FC6F69F">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37EC233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541B9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5729CCDA">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0114C3A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1271AC56">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50CE6A4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355D659A">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475B4EA7">
      <w:pPr>
        <w:spacing w:line="460" w:lineRule="exact"/>
        <w:rPr>
          <w:rFonts w:ascii="仿宋_GB2312" w:hAnsi="仿宋_GB2312" w:eastAsia="仿宋_GB2312" w:cs="仿宋_GB2312"/>
          <w:color w:val="auto"/>
          <w:sz w:val="24"/>
          <w:highlight w:val="none"/>
        </w:rPr>
      </w:pPr>
      <w:bookmarkStart w:id="109" w:name="_Toc455607508"/>
      <w:r>
        <w:rPr>
          <w:rFonts w:hint="eastAsia" w:ascii="仿宋_GB2312" w:hAnsi="仿宋_GB2312" w:eastAsia="仿宋_GB2312" w:cs="仿宋_GB2312"/>
          <w:color w:val="auto"/>
          <w:sz w:val="24"/>
          <w:highlight w:val="none"/>
        </w:rPr>
        <w:t>二、投入本项目的主要负责人资历表</w:t>
      </w:r>
      <w:bookmarkEnd w:id="109"/>
    </w:p>
    <w:tbl>
      <w:tblPr>
        <w:tblStyle w:val="7"/>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060"/>
        <w:gridCol w:w="865"/>
        <w:gridCol w:w="1479"/>
        <w:gridCol w:w="277"/>
        <w:gridCol w:w="1376"/>
        <w:gridCol w:w="1264"/>
      </w:tblGrid>
      <w:tr w14:paraId="1B0F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14:paraId="40A8C87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60" w:type="dxa"/>
          </w:tcPr>
          <w:p w14:paraId="5498AB6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074980D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479" w:type="dxa"/>
          </w:tcPr>
          <w:p w14:paraId="614944D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3F67D8C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264" w:type="dxa"/>
          </w:tcPr>
          <w:p w14:paraId="69976521">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7DB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136" w:type="dxa"/>
          </w:tcPr>
          <w:p w14:paraId="334CF54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60" w:type="dxa"/>
          </w:tcPr>
          <w:p w14:paraId="7A43057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6979952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479" w:type="dxa"/>
          </w:tcPr>
          <w:p w14:paraId="19E993E9">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0FC67E3E">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264" w:type="dxa"/>
          </w:tcPr>
          <w:p w14:paraId="0D015E3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3A9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6" w:type="dxa"/>
            <w:gridSpan w:val="2"/>
          </w:tcPr>
          <w:p w14:paraId="0E1B2B36">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261" w:type="dxa"/>
            <w:gridSpan w:val="5"/>
          </w:tcPr>
          <w:p w14:paraId="3B1BF09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5513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347F64C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681" w:type="dxa"/>
            <w:gridSpan w:val="4"/>
          </w:tcPr>
          <w:p w14:paraId="25B6407E">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640" w:type="dxa"/>
            <w:gridSpan w:val="2"/>
          </w:tcPr>
          <w:p w14:paraId="65DFE5E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0C0F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78DD1B8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22825FD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7141F9CD">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44A0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06D8D8E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513D389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1908BD7A">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63A97D1B">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bookmarkStart w:id="110" w:name="_Toc455607509"/>
    </w:p>
    <w:p w14:paraId="41EF21D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三、投入本项目的主要团队人员资历表</w:t>
      </w:r>
      <w:bookmarkEnd w:id="110"/>
    </w:p>
    <w:tbl>
      <w:tblPr>
        <w:tblStyle w:val="7"/>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038"/>
        <w:gridCol w:w="740"/>
        <w:gridCol w:w="1672"/>
        <w:gridCol w:w="282"/>
        <w:gridCol w:w="1349"/>
        <w:gridCol w:w="1156"/>
      </w:tblGrid>
      <w:tr w14:paraId="0D96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3FD97E8B">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38" w:type="dxa"/>
          </w:tcPr>
          <w:p w14:paraId="1899C58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6527834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672" w:type="dxa"/>
          </w:tcPr>
          <w:p w14:paraId="0141332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7BBA105A">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156" w:type="dxa"/>
          </w:tcPr>
          <w:p w14:paraId="00C693DF">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4E8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765D6C42">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38" w:type="dxa"/>
          </w:tcPr>
          <w:p w14:paraId="528995A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2D39841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672" w:type="dxa"/>
          </w:tcPr>
          <w:p w14:paraId="7CDBD05D">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1EA76D83">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156" w:type="dxa"/>
          </w:tcPr>
          <w:p w14:paraId="16A9FDC5">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49E5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187" w:type="dxa"/>
            <w:gridSpan w:val="2"/>
          </w:tcPr>
          <w:p w14:paraId="317B4BC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199" w:type="dxa"/>
            <w:gridSpan w:val="5"/>
          </w:tcPr>
          <w:p w14:paraId="1786866E">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7AC6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14:paraId="62FABFC7">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732" w:type="dxa"/>
            <w:gridSpan w:val="4"/>
          </w:tcPr>
          <w:p w14:paraId="27D02652">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505" w:type="dxa"/>
            <w:gridSpan w:val="2"/>
          </w:tcPr>
          <w:p w14:paraId="403DAF90">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64C3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238AD17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4BB0EFB4">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44DDF903">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279F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48CD5A4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3F6CDCC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101244C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C13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6AA12AD1">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3D15C83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70C19143">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5FFA3D50">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p>
    <w:p w14:paraId="58668326">
      <w:pPr>
        <w:widowControl/>
        <w:spacing w:line="460" w:lineRule="exact"/>
        <w:jc w:val="left"/>
        <w:rPr>
          <w:rFonts w:ascii="仿宋_GB2312" w:hAnsi="仿宋_GB2312" w:eastAsia="仿宋_GB2312" w:cs="仿宋_GB2312"/>
          <w:color w:val="auto"/>
          <w:sz w:val="24"/>
          <w:highlight w:val="none"/>
        </w:rPr>
      </w:pPr>
    </w:p>
    <w:p w14:paraId="77B36B89">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 xml:space="preserve">申请人（单位公章）： </w:t>
      </w:r>
    </w:p>
    <w:p w14:paraId="2655310A">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法定代表人/授权代表</w:t>
      </w:r>
      <w:r>
        <w:rPr>
          <w:rFonts w:ascii="仿宋_GB2312" w:hAnsi="仿宋_GB2312" w:eastAsia="仿宋_GB2312" w:cs="仿宋_GB2312"/>
          <w:color w:val="auto"/>
          <w:sz w:val="24"/>
          <w:highlight w:val="none"/>
        </w:rPr>
        <w:t xml:space="preserve">（签字）：               </w:t>
      </w:r>
    </w:p>
    <w:p w14:paraId="01F7F8C5">
      <w:pPr>
        <w:spacing w:line="460" w:lineRule="exact"/>
        <w:ind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 </w:t>
      </w:r>
    </w:p>
    <w:p w14:paraId="5F42985E">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十一、年度财务审计报告</w:t>
      </w:r>
    </w:p>
    <w:p w14:paraId="60322126">
      <w:pPr>
        <w:pStyle w:val="3"/>
        <w:rPr>
          <w:rFonts w:hint="eastAsia" w:ascii="仿宋_GB2312" w:hAnsi="仿宋_GB2312" w:eastAsia="仿宋_GB2312" w:cs="仿宋_GB2312"/>
          <w:color w:val="auto"/>
          <w:sz w:val="24"/>
          <w:highlight w:val="none"/>
        </w:rPr>
      </w:pPr>
    </w:p>
    <w:p w14:paraId="51E70DF7">
      <w:pPr>
        <w:rPr>
          <w:rFonts w:ascii="仿宋_GB2312" w:hAnsi="仿宋_GB2312" w:eastAsia="仿宋_GB2312" w:cs="仿宋_GB2312"/>
          <w:b/>
          <w:bCs/>
          <w:color w:val="auto"/>
          <w:kern w:val="28"/>
          <w:sz w:val="30"/>
          <w:szCs w:val="30"/>
          <w:highlight w:val="none"/>
        </w:rPr>
      </w:pPr>
      <w:r>
        <w:rPr>
          <w:rFonts w:hint="eastAsia" w:ascii="仿宋_GB2312" w:hAnsi="仿宋_GB2312" w:eastAsia="仿宋_GB2312" w:cs="仿宋_GB2312"/>
          <w:b/>
          <w:bCs/>
          <w:color w:val="auto"/>
          <w:kern w:val="28"/>
          <w:sz w:val="30"/>
          <w:szCs w:val="30"/>
          <w:highlight w:val="none"/>
        </w:rPr>
        <w:br w:type="page"/>
      </w:r>
    </w:p>
    <w:p w14:paraId="564E3233">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十二、年度财务审计报告</w:t>
      </w:r>
    </w:p>
    <w:p w14:paraId="38E0EC0C">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99EE318">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D299E62">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82F8F1B">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10054C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0DA637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162AB66">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6AB19EC">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4E1FC957">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1162BBE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4583DEC9">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3B80B6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7CC613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2795FFD">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C466CB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13610492">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A98FEBD">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8A0372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BD9054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6D3BCA4">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438292F">
      <w:pPr>
        <w:rPr>
          <w:rFonts w:hint="eastAsia" w:ascii="华文仿宋" w:hAnsi="华文仿宋" w:eastAsia="华文仿宋"/>
          <w:color w:val="auto"/>
          <w:sz w:val="28"/>
          <w:highlight w:val="none"/>
        </w:rPr>
      </w:pPr>
      <w:r>
        <w:rPr>
          <w:rFonts w:hint="eastAsia" w:ascii="仿宋_GB2312" w:hAnsi="仿宋_GB2312" w:eastAsia="仿宋_GB2312" w:cs="仿宋_GB2312"/>
          <w:b/>
          <w:bCs/>
          <w:color w:val="auto"/>
          <w:kern w:val="28"/>
          <w:sz w:val="30"/>
          <w:szCs w:val="30"/>
          <w:highlight w:val="none"/>
        </w:rPr>
        <w:br w:type="page"/>
      </w:r>
      <w:bookmarkStart w:id="111" w:name="_Toc23378"/>
      <w:bookmarkStart w:id="112" w:name="_Toc29181"/>
      <w:bookmarkStart w:id="113" w:name="_Toc5371"/>
      <w:bookmarkStart w:id="114" w:name="_Toc7311"/>
      <w:bookmarkStart w:id="115" w:name="_Toc19007"/>
      <w:bookmarkStart w:id="116" w:name="_Toc29701"/>
      <w:bookmarkStart w:id="117" w:name="_Toc5469"/>
      <w:bookmarkStart w:id="118" w:name="_Toc8050"/>
    </w:p>
    <w:p w14:paraId="028B7578">
      <w:pPr>
        <w:keepNext/>
        <w:keepLines/>
        <w:widowControl w:val="0"/>
        <w:numPr>
          <w:ilvl w:val="255"/>
          <w:numId w:val="0"/>
        </w:numPr>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十三、竞争性谈判申请人认为需附的</w:t>
      </w:r>
      <w:r>
        <w:rPr>
          <w:rFonts w:ascii="仿宋_GB2312" w:hAnsi="仿宋_GB2312" w:eastAsia="仿宋_GB2312" w:cs="仿宋_GB2312"/>
          <w:b/>
          <w:bCs/>
          <w:color w:val="auto"/>
          <w:kern w:val="28"/>
          <w:sz w:val="30"/>
          <w:szCs w:val="30"/>
          <w:highlight w:val="none"/>
          <w:lang w:val="en-US" w:eastAsia="zh-CN" w:bidi="ar-SA"/>
        </w:rPr>
        <w:t>其他资料（如有）</w:t>
      </w:r>
    </w:p>
    <w:p w14:paraId="388E1CF4">
      <w:pPr>
        <w:rPr>
          <w:rFonts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br w:type="page"/>
      </w:r>
    </w:p>
    <w:p w14:paraId="660CED5A">
      <w:pPr>
        <w:spacing w:after="156" w:afterLines="50" w:line="460" w:lineRule="exact"/>
        <w:ind w:firstLine="643" w:firstLineChars="200"/>
        <w:jc w:val="center"/>
        <w:outlineLvl w:val="0"/>
        <w:rPr>
          <w:rFonts w:ascii="仿宋_GB2312" w:hAnsi="仿宋_GB2312" w:eastAsia="仿宋_GB2312" w:cs="仿宋_GB2312"/>
          <w:color w:val="auto"/>
          <w:sz w:val="32"/>
          <w:szCs w:val="32"/>
          <w:highlight w:val="none"/>
        </w:rPr>
      </w:pPr>
      <w:bookmarkStart w:id="119" w:name="_Toc939"/>
      <w:bookmarkStart w:id="120" w:name="_Toc31984"/>
      <w:r>
        <w:rPr>
          <w:rFonts w:hint="eastAsia" w:ascii="仿宋_GB2312" w:hAnsi="仿宋_GB2312" w:eastAsia="仿宋_GB2312" w:cs="仿宋_GB2312"/>
          <w:b/>
          <w:bCs/>
          <w:color w:val="auto"/>
          <w:sz w:val="32"/>
          <w:szCs w:val="32"/>
          <w:highlight w:val="none"/>
        </w:rPr>
        <w:t>第五章 项目需求及服务、团队等相关要求</w:t>
      </w:r>
      <w:bookmarkEnd w:id="111"/>
      <w:bookmarkEnd w:id="112"/>
      <w:bookmarkEnd w:id="113"/>
      <w:bookmarkEnd w:id="114"/>
      <w:bookmarkEnd w:id="115"/>
      <w:bookmarkEnd w:id="116"/>
      <w:bookmarkEnd w:id="117"/>
      <w:bookmarkEnd w:id="118"/>
      <w:bookmarkEnd w:id="119"/>
      <w:bookmarkEnd w:id="120"/>
    </w:p>
    <w:p w14:paraId="108B71FE">
      <w:pPr>
        <w:spacing w:line="460" w:lineRule="exact"/>
        <w:ind w:firstLine="480" w:firstLineChars="200"/>
        <w:jc w:val="left"/>
        <w:outlineLvl w:val="1"/>
        <w:rPr>
          <w:rFonts w:ascii="仿宋_GB2312" w:hAnsi="仿宋_GB2312" w:eastAsia="仿宋_GB2312" w:cs="仿宋_GB2312"/>
          <w:color w:val="auto"/>
          <w:sz w:val="24"/>
          <w:highlight w:val="none"/>
        </w:rPr>
      </w:pPr>
      <w:bookmarkStart w:id="121" w:name="_Toc4032"/>
      <w:bookmarkStart w:id="122" w:name="_Toc2263"/>
      <w:bookmarkStart w:id="123" w:name="_Toc27403"/>
      <w:r>
        <w:rPr>
          <w:rFonts w:hint="eastAsia" w:ascii="仿宋_GB2312" w:hAnsi="仿宋_GB2312" w:eastAsia="仿宋_GB2312" w:cs="仿宋_GB2312"/>
          <w:color w:val="auto"/>
          <w:sz w:val="24"/>
          <w:highlight w:val="none"/>
        </w:rPr>
        <w:t>一、项目需求</w:t>
      </w:r>
      <w:bookmarkEnd w:id="121"/>
      <w:bookmarkEnd w:id="122"/>
      <w:bookmarkEnd w:id="123"/>
    </w:p>
    <w:p w14:paraId="1DA865F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邀请人</w:t>
      </w:r>
      <w:r>
        <w:rPr>
          <w:rFonts w:hint="eastAsia" w:ascii="仿宋_GB2312" w:hAnsi="仿宋_GB2312" w:eastAsia="仿宋_GB2312" w:cs="仿宋_GB2312"/>
          <w:color w:val="auto"/>
          <w:sz w:val="24"/>
          <w:highlight w:val="none"/>
        </w:rPr>
        <w:t>为维护公司合法权益，</w:t>
      </w:r>
      <w:r>
        <w:rPr>
          <w:rFonts w:hint="eastAsia" w:ascii="仿宋_GB2312" w:hAnsi="仿宋_GB2312" w:eastAsia="仿宋_GB2312" w:cs="仿宋_GB2312"/>
          <w:color w:val="auto"/>
          <w:sz w:val="24"/>
          <w:highlight w:val="none"/>
          <w:lang w:val="en-US" w:eastAsia="zh-CN"/>
        </w:rPr>
        <w:t>保障公司资金安全，</w:t>
      </w:r>
      <w:r>
        <w:rPr>
          <w:rFonts w:hint="eastAsia" w:ascii="仿宋_GB2312" w:hAnsi="仿宋_GB2312" w:eastAsia="仿宋_GB2312" w:cs="仿宋_GB2312"/>
          <w:color w:val="auto"/>
          <w:sz w:val="24"/>
          <w:highlight w:val="none"/>
        </w:rPr>
        <w:t>为公司正常运营和发展保驾护航，引入法律支撑服务合作单位。</w:t>
      </w:r>
    </w:p>
    <w:p w14:paraId="154867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124" w:name="_Toc10913"/>
      <w:bookmarkStart w:id="125" w:name="_Toc15152"/>
      <w:bookmarkStart w:id="126" w:name="_Toc2266"/>
      <w:r>
        <w:rPr>
          <w:rFonts w:hint="eastAsia" w:ascii="仿宋_GB2312" w:hAnsi="仿宋_GB2312" w:eastAsia="仿宋_GB2312" w:cs="仿宋_GB2312"/>
          <w:color w:val="auto"/>
          <w:sz w:val="24"/>
          <w:highlight w:val="none"/>
        </w:rPr>
        <w:t>二、服务要求</w:t>
      </w:r>
      <w:bookmarkEnd w:id="124"/>
      <w:bookmarkEnd w:id="125"/>
      <w:bookmarkEnd w:id="126"/>
    </w:p>
    <w:p w14:paraId="29CAFDDC">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_GB2312" w:hAnsi="仿宋_GB2312" w:eastAsia="仿宋_GB2312" w:cs="仿宋_GB2312"/>
          <w:color w:val="auto"/>
          <w:sz w:val="24"/>
          <w:highlight w:val="none"/>
          <w:lang w:val="en-US" w:eastAsia="zh-CN"/>
        </w:rPr>
      </w:pPr>
      <w:bookmarkStart w:id="127" w:name="_Toc23471"/>
      <w:bookmarkStart w:id="128" w:name="_Toc12665"/>
      <w:bookmarkStart w:id="129" w:name="_Toc18086"/>
      <w:r>
        <w:rPr>
          <w:rFonts w:hint="eastAsia" w:ascii="仿宋_GB2312" w:hAnsi="仿宋_GB2312" w:eastAsia="仿宋_GB2312" w:cs="仿宋_GB2312"/>
          <w:color w:val="auto"/>
          <w:sz w:val="24"/>
          <w:highlight w:val="none"/>
          <w:lang w:val="en-US" w:eastAsia="zh-CN"/>
        </w:rPr>
        <w:t>邀请人</w:t>
      </w:r>
      <w:r>
        <w:rPr>
          <w:rFonts w:hint="eastAsia" w:ascii="仿宋_GB2312" w:hAnsi="仿宋_GB2312" w:eastAsia="仿宋_GB2312" w:cs="仿宋_GB2312"/>
          <w:color w:val="auto"/>
          <w:sz w:val="24"/>
          <w:highlight w:val="none"/>
        </w:rPr>
        <w:t>委托的范围内</w:t>
      </w:r>
      <w:r>
        <w:rPr>
          <w:rFonts w:hint="eastAsia" w:ascii="仿宋_GB2312" w:hAnsi="仿宋_GB2312" w:eastAsia="仿宋_GB2312" w:cs="仿宋_GB2312"/>
          <w:color w:val="auto"/>
          <w:sz w:val="24"/>
          <w:highlight w:val="none"/>
          <w:lang w:val="en-US" w:eastAsia="zh-CN"/>
        </w:rPr>
        <w:t>开展法律诉讼及后续款项回收工作相关</w:t>
      </w:r>
      <w:r>
        <w:rPr>
          <w:rFonts w:hint="eastAsia" w:ascii="仿宋_GB2312" w:hAnsi="仿宋_GB2312" w:eastAsia="仿宋_GB2312" w:cs="仿宋_GB2312"/>
          <w:color w:val="auto"/>
          <w:sz w:val="24"/>
          <w:highlight w:val="none"/>
        </w:rPr>
        <w:t>事宜。主要内容为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通过诉讼一审、二审（若有）、再审（若有）、执行（若有）回收欠款本金及违约金、逾期付款利息等服务内容，必要时需参加邀请人及邀请人集团要求的关于案件的会议。案件所产生的律师差旅费由中选</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z w:val="24"/>
          <w:highlight w:val="none"/>
          <w:lang w:val="en-US" w:eastAsia="zh-CN"/>
        </w:rPr>
        <w:t>自行承担。</w:t>
      </w:r>
    </w:p>
    <w:p w14:paraId="48390EB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三、团队要求</w:t>
      </w:r>
      <w:bookmarkEnd w:id="127"/>
      <w:bookmarkEnd w:id="128"/>
      <w:bookmarkEnd w:id="129"/>
    </w:p>
    <w:p w14:paraId="33AB081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1.遵守国家</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、政策，恪守律师职业道德和执业纪律。</w:t>
      </w:r>
    </w:p>
    <w:p w14:paraId="451EABD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2.忠于职守，依法维护</w:t>
      </w:r>
      <w:r>
        <w:rPr>
          <w:rFonts w:hint="eastAsia" w:ascii="仿宋_GB2312" w:hAnsi="仿宋_GB2312" w:eastAsia="仿宋_GB2312" w:cs="仿宋_GB2312"/>
          <w:color w:val="auto"/>
          <w:sz w:val="24"/>
          <w:highlight w:val="none"/>
          <w:lang w:val="en-US" w:eastAsia="zh-CN"/>
        </w:rPr>
        <w:t>邀请人</w:t>
      </w:r>
      <w:r>
        <w:rPr>
          <w:rFonts w:hint="eastAsia" w:ascii="仿宋_GB2312" w:hAnsi="仿宋_GB2312" w:eastAsia="仿宋_GB2312" w:cs="仿宋_GB2312"/>
          <w:color w:val="auto"/>
          <w:sz w:val="24"/>
          <w:highlight w:val="none"/>
        </w:rPr>
        <w:t>的合法权益。</w:t>
      </w:r>
    </w:p>
    <w:p w14:paraId="0179AF4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3.尽职尽责，提供全方位的优质高效法律服务。</w:t>
      </w:r>
    </w:p>
    <w:p w14:paraId="54022D2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4.对提出的法律意见、起草的法律文书以及办理的其他法律事务的合法性和有效性负责。</w:t>
      </w:r>
    </w:p>
    <w:p w14:paraId="0EB632BC">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四、服务标准及要求</w:t>
      </w:r>
    </w:p>
    <w:p w14:paraId="5417147B">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bookmarkStart w:id="130" w:name="_Hlk129770241"/>
      <w:r>
        <w:rPr>
          <w:rFonts w:hint="eastAsia" w:ascii="仿宋_GB2312" w:hAnsi="仿宋_GB2312" w:eastAsia="仿宋_GB2312" w:cs="仿宋_GB2312"/>
          <w:color w:val="auto"/>
          <w:kern w:val="2"/>
          <w:sz w:val="24"/>
          <w:szCs w:val="24"/>
          <w:highlight w:val="none"/>
          <w:lang w:val="en-US" w:eastAsia="zh-CN" w:bidi="ar-SA"/>
        </w:rPr>
        <w:t>1、指派的律师服务团队在提供服务过程中应当及时向邀请人、相关部门和单位调取案件所必需的证据；</w:t>
      </w:r>
    </w:p>
    <w:p w14:paraId="766C603D">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2、指派的律师团队在提供服务过程中需制定相应的诉讼策略和诉讼方案，如：诉讼代理方案中案件概况、代理思路、案件重点、难点、风险点、应诉策略、进度安排、组织措施等；</w:t>
      </w:r>
    </w:p>
    <w:p w14:paraId="3480DDE8">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3、指派的律师团队在代为诉讼的同时应邀请人的要求需协助邀请人妥善处理与诉讼相关纠纷；</w:t>
      </w:r>
    </w:p>
    <w:p w14:paraId="6A324936">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4、指派的律师团队应当以其依据法律作出的专业判断，向邀请人进行法律风险提示，尽最大努力维护邀请人的合法利益；</w:t>
      </w:r>
    </w:p>
    <w:p w14:paraId="65CD89EF">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5、代理期间，将拟定的包括但不限于代理方案、证据目录、质证意见、代理意见等交邀请人审阅。</w:t>
      </w:r>
    </w:p>
    <w:p w14:paraId="0FF881EF">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6、中选人应当根据审判机关的要求，及时提交证据，按时参加审理活动并应及时向邀请人通报案件进展情况。</w:t>
      </w:r>
    </w:p>
    <w:p w14:paraId="0D8F7EBB">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7、指派的律师团队对委托办理的案件应当独立建档，并保存完整的工作记录，对涉及邀请人的原始证据、法律文件和财物应当妥善保管；</w:t>
      </w:r>
    </w:p>
    <w:bookmarkEnd w:id="130"/>
    <w:p w14:paraId="21510F3F">
      <w:pPr>
        <w:pStyle w:val="3"/>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8、指派的律师团队应当保守其在接受邀请人委托代理案件过程中知悉的国家秘密、商业秘密、个人隐私，以及邀请人明确表示不能对外公开的信息。</w:t>
      </w:r>
    </w:p>
    <w:p w14:paraId="2EB0CAB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131" w:name="_Toc31114"/>
      <w:bookmarkStart w:id="132" w:name="_Toc30152"/>
      <w:bookmarkStart w:id="133" w:name="_Toc492"/>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、其他要求</w:t>
      </w:r>
      <w:bookmarkEnd w:id="131"/>
      <w:bookmarkEnd w:id="132"/>
      <w:bookmarkEnd w:id="133"/>
    </w:p>
    <w:p w14:paraId="5C66CF0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SA"/>
        </w:rPr>
        <w:t>中选人</w:t>
      </w:r>
      <w:r>
        <w:rPr>
          <w:rFonts w:hint="eastAsia" w:ascii="仿宋_GB2312" w:hAnsi="仿宋_GB2312" w:eastAsia="仿宋_GB2312" w:cs="仿宋_GB2312"/>
          <w:color w:val="auto"/>
          <w:sz w:val="24"/>
          <w:highlight w:val="none"/>
        </w:rPr>
        <w:t>有如下行为的，</w:t>
      </w:r>
      <w:r>
        <w:rPr>
          <w:rFonts w:hint="eastAsia" w:ascii="仿宋_GB2312" w:hAnsi="仿宋_GB2312" w:eastAsia="仿宋_GB2312" w:cs="仿宋_GB2312"/>
          <w:color w:val="auto"/>
          <w:sz w:val="24"/>
          <w:highlight w:val="none"/>
          <w:lang w:val="en-US" w:eastAsia="zh-CN"/>
        </w:rPr>
        <w:t>邀请人</w:t>
      </w:r>
      <w:r>
        <w:rPr>
          <w:rFonts w:hint="eastAsia" w:ascii="仿宋_GB2312" w:hAnsi="仿宋_GB2312" w:eastAsia="仿宋_GB2312" w:cs="仿宋_GB2312"/>
          <w:color w:val="auto"/>
          <w:sz w:val="24"/>
          <w:highlight w:val="none"/>
        </w:rPr>
        <w:t>可依法解除法律服务协议，并要求赔偿损失：</w:t>
      </w:r>
    </w:p>
    <w:p w14:paraId="51FFAF7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1.在法律服务协议有效期内担任同业竞争关系企业的法律顾问，或者受理有同业竞争关系企业的法律事务；</w:t>
      </w:r>
    </w:p>
    <w:p w14:paraId="410E447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2.在诉讼或者仲裁活动中担任对方当事人（含外聘法律顾问受聘的其他企业或者个人）的代理人；</w:t>
      </w:r>
    </w:p>
    <w:p w14:paraId="7F1119D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3.其他损害</w:t>
      </w:r>
      <w:r>
        <w:rPr>
          <w:rFonts w:hint="eastAsia" w:ascii="仿宋_GB2312" w:hAnsi="仿宋_GB2312" w:eastAsia="仿宋_GB2312" w:cs="仿宋_GB2312"/>
          <w:color w:val="auto"/>
          <w:sz w:val="24"/>
          <w:highlight w:val="none"/>
          <w:lang w:val="en-US" w:eastAsia="zh-CN"/>
        </w:rPr>
        <w:t>邀请人</w:t>
      </w:r>
      <w:r>
        <w:rPr>
          <w:rFonts w:hint="eastAsia" w:ascii="仿宋_GB2312" w:hAnsi="仿宋_GB2312" w:eastAsia="仿宋_GB2312" w:cs="仿宋_GB2312"/>
          <w:color w:val="auto"/>
          <w:sz w:val="24"/>
          <w:highlight w:val="none"/>
        </w:rPr>
        <w:t>合法权益的行为。</w:t>
      </w:r>
      <w:bookmarkStart w:id="134" w:name="_Toc26177"/>
      <w:bookmarkStart w:id="135" w:name="_Toc17709"/>
      <w:bookmarkStart w:id="136" w:name="_Toc30236"/>
      <w:bookmarkStart w:id="137" w:name="_Toc3519"/>
      <w:bookmarkStart w:id="138" w:name="_Toc13978"/>
      <w:bookmarkStart w:id="139" w:name="_Toc12823"/>
      <w:bookmarkStart w:id="140" w:name="_Toc27729"/>
      <w:bookmarkStart w:id="141" w:name="_Toc5556"/>
      <w:bookmarkStart w:id="142" w:name="_Toc25653"/>
      <w:bookmarkStart w:id="143" w:name="_Toc25574"/>
      <w:bookmarkStart w:id="144" w:name="_Toc5592"/>
      <w:bookmarkStart w:id="145" w:name="_Toc26915"/>
    </w:p>
    <w:p w14:paraId="3417150F">
      <w:pPr>
        <w:pStyle w:val="2"/>
        <w:rPr>
          <w:rFonts w:hint="eastAsia" w:ascii="仿宋_GB2312" w:hAnsi="仿宋_GB2312" w:eastAsia="仿宋_GB2312" w:cs="仿宋_GB2312"/>
          <w:color w:val="auto"/>
          <w:sz w:val="24"/>
          <w:highlight w:val="none"/>
        </w:rPr>
      </w:pPr>
      <w:bookmarkStart w:id="152" w:name="_GoBack"/>
      <w:bookmarkEnd w:id="152"/>
    </w:p>
    <w:p w14:paraId="28391425">
      <w:pPr>
        <w:rPr>
          <w:rFonts w:hint="eastAsia" w:ascii="仿宋_GB2312" w:hAnsi="仿宋_GB2312" w:eastAsia="仿宋_GB2312" w:cs="仿宋_GB2312"/>
          <w:color w:val="auto"/>
          <w:sz w:val="24"/>
          <w:highlight w:val="none"/>
        </w:rPr>
      </w:pPr>
    </w:p>
    <w:p w14:paraId="0CA01361">
      <w:pPr>
        <w:pStyle w:val="2"/>
        <w:rPr>
          <w:rFonts w:hint="eastAsia" w:ascii="仿宋_GB2312" w:hAnsi="仿宋_GB2312" w:eastAsia="仿宋_GB2312" w:cs="仿宋_GB2312"/>
          <w:color w:val="auto"/>
          <w:sz w:val="24"/>
          <w:highlight w:val="none"/>
        </w:rPr>
      </w:pPr>
    </w:p>
    <w:p w14:paraId="6B291165">
      <w:pPr>
        <w:rPr>
          <w:rFonts w:hint="eastAsia" w:ascii="仿宋_GB2312" w:hAnsi="仿宋_GB2312" w:eastAsia="仿宋_GB2312" w:cs="仿宋_GB2312"/>
          <w:color w:val="auto"/>
          <w:sz w:val="24"/>
          <w:highlight w:val="none"/>
        </w:rPr>
      </w:pPr>
    </w:p>
    <w:p w14:paraId="14CDE009">
      <w:pPr>
        <w:pStyle w:val="3"/>
        <w:rPr>
          <w:rFonts w:hint="eastAsia" w:ascii="仿宋_GB2312" w:hAnsi="仿宋_GB2312" w:eastAsia="仿宋_GB2312" w:cs="仿宋_GB2312"/>
          <w:color w:val="auto"/>
          <w:sz w:val="24"/>
          <w:highlight w:val="none"/>
        </w:rPr>
      </w:pPr>
    </w:p>
    <w:p w14:paraId="4942F257">
      <w:pPr>
        <w:pStyle w:val="3"/>
        <w:rPr>
          <w:rFonts w:hint="eastAsia" w:ascii="仿宋_GB2312" w:hAnsi="仿宋_GB2312" w:eastAsia="仿宋_GB2312" w:cs="仿宋_GB2312"/>
          <w:color w:val="auto"/>
          <w:sz w:val="24"/>
          <w:highlight w:val="none"/>
        </w:rPr>
      </w:pPr>
    </w:p>
    <w:p w14:paraId="318CDE75">
      <w:pPr>
        <w:pStyle w:val="3"/>
        <w:rPr>
          <w:rFonts w:hint="eastAsia" w:ascii="仿宋_GB2312" w:hAnsi="仿宋_GB2312" w:eastAsia="仿宋_GB2312" w:cs="仿宋_GB2312"/>
          <w:color w:val="auto"/>
          <w:sz w:val="24"/>
          <w:highlight w:val="none"/>
        </w:rPr>
      </w:pPr>
    </w:p>
    <w:p w14:paraId="6DD1CF9C">
      <w:pPr>
        <w:pStyle w:val="3"/>
        <w:rPr>
          <w:rFonts w:hint="eastAsia" w:ascii="仿宋_GB2312" w:hAnsi="仿宋_GB2312" w:eastAsia="仿宋_GB2312" w:cs="仿宋_GB2312"/>
          <w:color w:val="auto"/>
          <w:sz w:val="24"/>
          <w:highlight w:val="none"/>
        </w:rPr>
      </w:pPr>
    </w:p>
    <w:p w14:paraId="6E2904C5">
      <w:pPr>
        <w:pStyle w:val="3"/>
        <w:rPr>
          <w:rFonts w:hint="eastAsia" w:ascii="仿宋_GB2312" w:hAnsi="仿宋_GB2312" w:eastAsia="仿宋_GB2312" w:cs="仿宋_GB2312"/>
          <w:color w:val="auto"/>
          <w:sz w:val="24"/>
          <w:highlight w:val="none"/>
        </w:rPr>
      </w:pPr>
    </w:p>
    <w:p w14:paraId="0A8F9E43">
      <w:pPr>
        <w:adjustRightInd w:val="0"/>
        <w:spacing w:after="156" w:afterLines="50" w:line="460" w:lineRule="exact"/>
        <w:jc w:val="both"/>
        <w:outlineLvl w:val="0"/>
        <w:rPr>
          <w:rFonts w:hint="eastAsia" w:ascii="仿宋_GB2312" w:hAnsi="仿宋_GB2312" w:eastAsia="仿宋_GB2312" w:cs="仿宋_GB2312"/>
          <w:b/>
          <w:bCs/>
          <w:color w:val="auto"/>
          <w:kern w:val="44"/>
          <w:sz w:val="32"/>
          <w:szCs w:val="32"/>
          <w:highlight w:val="none"/>
        </w:rPr>
      </w:pPr>
    </w:p>
    <w:p w14:paraId="2E283A00">
      <w:pPr>
        <w:adjustRightInd w:val="0"/>
        <w:spacing w:after="156" w:afterLines="50" w:line="460" w:lineRule="exact"/>
        <w:jc w:val="center"/>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44"/>
          <w:sz w:val="32"/>
          <w:szCs w:val="32"/>
          <w:highlight w:val="none"/>
        </w:rPr>
        <w:t xml:space="preserve">第六章  </w:t>
      </w:r>
      <w:bookmarkEnd w:id="134"/>
      <w:r>
        <w:rPr>
          <w:rFonts w:hint="eastAsia" w:ascii="仿宋_GB2312" w:hAnsi="仿宋_GB2312" w:eastAsia="仿宋_GB2312" w:cs="仿宋_GB2312"/>
          <w:b/>
          <w:bCs/>
          <w:color w:val="auto"/>
          <w:kern w:val="44"/>
          <w:sz w:val="32"/>
          <w:szCs w:val="32"/>
          <w:highlight w:val="none"/>
        </w:rPr>
        <w:t>评审</w:t>
      </w:r>
      <w:bookmarkEnd w:id="135"/>
      <w:bookmarkEnd w:id="136"/>
      <w:bookmarkEnd w:id="137"/>
      <w:bookmarkEnd w:id="138"/>
      <w:bookmarkEnd w:id="139"/>
      <w:bookmarkEnd w:id="140"/>
      <w:bookmarkEnd w:id="141"/>
      <w:bookmarkEnd w:id="142"/>
      <w:bookmarkEnd w:id="143"/>
      <w:bookmarkEnd w:id="144"/>
      <w:bookmarkEnd w:id="145"/>
      <w:r>
        <w:rPr>
          <w:rFonts w:hint="eastAsia" w:ascii="仿宋_GB2312" w:hAnsi="仿宋_GB2312" w:eastAsia="仿宋_GB2312" w:cs="仿宋_GB2312"/>
          <w:b/>
          <w:bCs/>
          <w:color w:val="auto"/>
          <w:kern w:val="44"/>
          <w:sz w:val="32"/>
          <w:szCs w:val="32"/>
          <w:highlight w:val="none"/>
          <w:lang w:val="en-US" w:eastAsia="zh-CN"/>
        </w:rPr>
        <w:t>方法</w:t>
      </w:r>
    </w:p>
    <w:p w14:paraId="29140BE2">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一、评审委员会</w:t>
      </w:r>
    </w:p>
    <w:p w14:paraId="695E48D9">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1.评审工作由</w:t>
      </w:r>
      <w:r>
        <w:rPr>
          <w:rFonts w:hint="eastAsia" w:ascii="仿宋_GB2312" w:hAnsi="仿宋_GB2312" w:eastAsia="仿宋_GB2312" w:cs="仿宋_GB2312"/>
          <w:bCs/>
          <w:color w:val="auto"/>
          <w:kern w:val="0"/>
          <w:sz w:val="24"/>
          <w:highlight w:val="none"/>
          <w:lang w:val="en-US" w:eastAsia="zh-CN"/>
        </w:rPr>
        <w:t>邀请人</w:t>
      </w:r>
      <w:r>
        <w:rPr>
          <w:rFonts w:hint="eastAsia" w:ascii="仿宋_GB2312" w:hAnsi="仿宋_GB2312" w:eastAsia="仿宋_GB2312" w:cs="仿宋_GB2312"/>
          <w:bCs/>
          <w:color w:val="auto"/>
          <w:kern w:val="0"/>
          <w:sz w:val="24"/>
          <w:highlight w:val="none"/>
          <w:lang w:val="zh-CN"/>
        </w:rPr>
        <w:t>相关成员组建的评审委员会负责。</w:t>
      </w:r>
    </w:p>
    <w:p w14:paraId="444CFBE1">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2.与本次</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w:t>
      </w:r>
      <w:r>
        <w:rPr>
          <w:rFonts w:hint="eastAsia" w:ascii="仿宋_GB2312" w:hAnsi="仿宋_GB2312" w:eastAsia="仿宋_GB2312" w:cs="仿宋_GB2312"/>
          <w:bCs/>
          <w:color w:val="auto"/>
          <w:kern w:val="0"/>
          <w:sz w:val="24"/>
          <w:highlight w:val="none"/>
          <w:lang w:val="zh-CN"/>
        </w:rPr>
        <w:t>存在经济利益或亲属关系的成员应当自行回避。</w:t>
      </w:r>
    </w:p>
    <w:p w14:paraId="14A2E92F">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二、评审程序</w:t>
      </w:r>
    </w:p>
    <w:p w14:paraId="63BDAC84">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根据各</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color w:val="auto"/>
          <w:sz w:val="24"/>
          <w:highlight w:val="none"/>
        </w:rPr>
        <w:t>申请人</w:t>
      </w:r>
      <w:r>
        <w:rPr>
          <w:rFonts w:hint="eastAsia" w:ascii="仿宋_GB2312" w:hAnsi="仿宋_GB2312" w:eastAsia="仿宋_GB2312" w:cs="仿宋_GB2312"/>
          <w:bCs/>
          <w:color w:val="auto"/>
          <w:kern w:val="0"/>
          <w:sz w:val="24"/>
          <w:highlight w:val="none"/>
          <w:lang w:val="zh-CN"/>
        </w:rPr>
        <w:t>递交的</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bCs/>
          <w:color w:val="auto"/>
          <w:kern w:val="0"/>
          <w:sz w:val="24"/>
          <w:highlight w:val="none"/>
          <w:lang w:val="zh-CN"/>
        </w:rPr>
        <w:t>申请书按照以下程序进行评审工作：</w:t>
      </w:r>
    </w:p>
    <w:p w14:paraId="18675222">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对</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bCs/>
          <w:color w:val="auto"/>
          <w:kern w:val="0"/>
          <w:sz w:val="24"/>
          <w:highlight w:val="none"/>
          <w:lang w:val="zh-CN"/>
        </w:rPr>
        <w:t>申请文件进行初审（包括资格性审查和实质性审查，剔除无效</w:t>
      </w:r>
      <w:r>
        <w:rPr>
          <w:rFonts w:hint="eastAsia" w:ascii="仿宋_GB2312" w:hAnsi="仿宋_GB2312" w:eastAsia="仿宋_GB2312" w:cs="仿宋_GB2312"/>
          <w:color w:val="auto"/>
          <w:sz w:val="24"/>
          <w:highlight w:val="none"/>
          <w:lang w:val="en-US" w:eastAsia="zh-CN"/>
        </w:rPr>
        <w:t>竞争性谈判</w:t>
      </w:r>
      <w:r>
        <w:rPr>
          <w:rFonts w:hint="eastAsia" w:ascii="仿宋_GB2312" w:hAnsi="仿宋_GB2312" w:eastAsia="仿宋_GB2312" w:cs="仿宋_GB2312"/>
          <w:bCs/>
          <w:color w:val="auto"/>
          <w:kern w:val="0"/>
          <w:sz w:val="24"/>
          <w:highlight w:val="none"/>
          <w:lang w:val="zh-CN"/>
        </w:rPr>
        <w:t>申请书）；按照</w:t>
      </w:r>
      <w:r>
        <w:rPr>
          <w:rFonts w:hint="eastAsia" w:ascii="仿宋_GB2312" w:hAnsi="仿宋_GB2312" w:eastAsia="仿宋_GB2312" w:cs="仿宋_GB2312"/>
          <w:bCs/>
          <w:color w:val="auto"/>
          <w:kern w:val="0"/>
          <w:sz w:val="24"/>
          <w:highlight w:val="none"/>
          <w:lang w:val="en-US" w:eastAsia="zh-CN"/>
        </w:rPr>
        <w:t>邀请人</w:t>
      </w:r>
      <w:r>
        <w:rPr>
          <w:rFonts w:hint="eastAsia" w:ascii="仿宋_GB2312" w:hAnsi="仿宋_GB2312" w:eastAsia="仿宋_GB2312" w:cs="仿宋_GB2312"/>
          <w:bCs/>
          <w:color w:val="auto"/>
          <w:kern w:val="0"/>
          <w:sz w:val="24"/>
          <w:highlight w:val="none"/>
          <w:lang w:val="zh-CN"/>
        </w:rPr>
        <w:t>制定的《评审标准》对通过初审的申请文件逐项打分；按照得分高低排序，评审委员会将推荐1名作为中选候选人。</w:t>
      </w:r>
    </w:p>
    <w:p w14:paraId="25B1F9EA">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bookmarkStart w:id="146" w:name="_Toc4845"/>
      <w:bookmarkStart w:id="147" w:name="_Toc6128"/>
      <w:bookmarkStart w:id="148" w:name="_Toc9298"/>
      <w:r>
        <w:rPr>
          <w:rFonts w:hint="eastAsia" w:ascii="仿宋_GB2312" w:hAnsi="仿宋_GB2312" w:eastAsia="仿宋_GB2312" w:cs="仿宋_GB2312"/>
          <w:b/>
          <w:color w:val="auto"/>
          <w:kern w:val="0"/>
          <w:sz w:val="24"/>
          <w:highlight w:val="none"/>
          <w:lang w:val="zh-CN"/>
        </w:rPr>
        <w:t>三、评审标准</w:t>
      </w:r>
      <w:bookmarkEnd w:id="146"/>
      <w:bookmarkEnd w:id="147"/>
      <w:bookmarkEnd w:id="148"/>
    </w:p>
    <w:p w14:paraId="610B8E46">
      <w:pPr>
        <w:spacing w:line="400" w:lineRule="exact"/>
        <w:ind w:firstLine="482" w:firstLineChars="200"/>
        <w:jc w:val="center"/>
        <w:rPr>
          <w:rFonts w:ascii="Times New Roman" w:hAnsi="Times New Roman" w:eastAsia="仿宋" w:cs="Times New Roman"/>
          <w:b/>
          <w:color w:val="auto"/>
          <w:kern w:val="0"/>
          <w:sz w:val="24"/>
          <w:highlight w:val="none"/>
        </w:rPr>
      </w:pPr>
      <w:bookmarkStart w:id="149" w:name="_Ref77046541"/>
      <w:r>
        <w:rPr>
          <w:rFonts w:ascii="Times New Roman" w:hAnsi="Times New Roman" w:eastAsia="仿宋" w:cs="Times New Roman"/>
          <w:b/>
          <w:color w:val="auto"/>
          <w:kern w:val="0"/>
          <w:sz w:val="24"/>
          <w:highlight w:val="none"/>
        </w:rPr>
        <w:t>资格评审表</w:t>
      </w:r>
    </w:p>
    <w:tbl>
      <w:tblPr>
        <w:tblStyle w:val="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752"/>
        <w:gridCol w:w="3734"/>
      </w:tblGrid>
      <w:tr w14:paraId="050B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18" w:type="dxa"/>
            <w:vAlign w:val="center"/>
          </w:tcPr>
          <w:p w14:paraId="13E1A666">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评审项</w:t>
            </w:r>
          </w:p>
        </w:tc>
        <w:tc>
          <w:tcPr>
            <w:tcW w:w="2752" w:type="dxa"/>
            <w:vAlign w:val="center"/>
          </w:tcPr>
          <w:p w14:paraId="136560A0">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评审因素</w:t>
            </w:r>
          </w:p>
        </w:tc>
        <w:tc>
          <w:tcPr>
            <w:tcW w:w="3734" w:type="dxa"/>
            <w:vAlign w:val="center"/>
          </w:tcPr>
          <w:p w14:paraId="5068F953">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评审标准</w:t>
            </w:r>
          </w:p>
        </w:tc>
      </w:tr>
      <w:tr w14:paraId="331B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18" w:type="dxa"/>
            <w:vMerge w:val="restart"/>
            <w:vAlign w:val="center"/>
          </w:tcPr>
          <w:p w14:paraId="161A2F37">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形式评审标准</w:t>
            </w:r>
          </w:p>
        </w:tc>
        <w:tc>
          <w:tcPr>
            <w:tcW w:w="2752" w:type="dxa"/>
            <w:vAlign w:val="center"/>
          </w:tcPr>
          <w:p w14:paraId="0C4E5B86">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竞争性谈判</w:t>
            </w:r>
            <w:r>
              <w:rPr>
                <w:rFonts w:hint="eastAsia" w:ascii="Times New Roman" w:hAnsi="Times New Roman" w:eastAsia="仿宋" w:cs="Times New Roman"/>
                <w:color w:val="auto"/>
                <w:sz w:val="22"/>
                <w:szCs w:val="22"/>
                <w:highlight w:val="none"/>
              </w:rPr>
              <w:t>申请人</w:t>
            </w:r>
            <w:r>
              <w:rPr>
                <w:rFonts w:ascii="Times New Roman" w:hAnsi="Times New Roman" w:eastAsia="仿宋" w:cs="Times New Roman"/>
                <w:color w:val="auto"/>
                <w:sz w:val="22"/>
                <w:szCs w:val="22"/>
                <w:highlight w:val="none"/>
              </w:rPr>
              <w:t>名称</w:t>
            </w:r>
          </w:p>
        </w:tc>
        <w:tc>
          <w:tcPr>
            <w:tcW w:w="3734" w:type="dxa"/>
            <w:vAlign w:val="center"/>
          </w:tcPr>
          <w:p w14:paraId="081CAD0A">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与营业执照一致</w:t>
            </w:r>
          </w:p>
        </w:tc>
      </w:tr>
      <w:tr w14:paraId="7CCE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18" w:type="dxa"/>
            <w:vMerge w:val="continue"/>
          </w:tcPr>
          <w:p w14:paraId="56D6DC5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600A0525">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签字、盖章</w:t>
            </w:r>
          </w:p>
        </w:tc>
        <w:tc>
          <w:tcPr>
            <w:tcW w:w="3734" w:type="dxa"/>
            <w:vAlign w:val="center"/>
          </w:tcPr>
          <w:p w14:paraId="14C2E4B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3FF2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818" w:type="dxa"/>
            <w:vMerge w:val="continue"/>
          </w:tcPr>
          <w:p w14:paraId="578D926F">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3F53C55B">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副本份数</w:t>
            </w:r>
          </w:p>
        </w:tc>
        <w:tc>
          <w:tcPr>
            <w:tcW w:w="3734" w:type="dxa"/>
            <w:vAlign w:val="center"/>
          </w:tcPr>
          <w:p w14:paraId="75F7C7A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27C0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818" w:type="dxa"/>
            <w:vMerge w:val="continue"/>
          </w:tcPr>
          <w:p w14:paraId="48C4662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772FE200">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报价唯一</w:t>
            </w:r>
          </w:p>
        </w:tc>
        <w:tc>
          <w:tcPr>
            <w:tcW w:w="3734" w:type="dxa"/>
            <w:vAlign w:val="center"/>
          </w:tcPr>
          <w:p w14:paraId="2EDB4C50">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只能有一组有效报价</w:t>
            </w:r>
          </w:p>
        </w:tc>
      </w:tr>
      <w:tr w14:paraId="3FD3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818" w:type="dxa"/>
            <w:vMerge w:val="continue"/>
          </w:tcPr>
          <w:p w14:paraId="510BC9F5">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3A4C2A93">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46569B4B">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7AEA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818" w:type="dxa"/>
            <w:vMerge w:val="restart"/>
            <w:vAlign w:val="center"/>
          </w:tcPr>
          <w:p w14:paraId="6C403C42">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资格评审标准</w:t>
            </w:r>
          </w:p>
        </w:tc>
        <w:tc>
          <w:tcPr>
            <w:tcW w:w="2752" w:type="dxa"/>
            <w:vAlign w:val="center"/>
          </w:tcPr>
          <w:p w14:paraId="6AB7E506">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律师事务所执业许可证</w:t>
            </w:r>
          </w:p>
        </w:tc>
        <w:tc>
          <w:tcPr>
            <w:tcW w:w="3734" w:type="dxa"/>
            <w:vAlign w:val="center"/>
          </w:tcPr>
          <w:p w14:paraId="6BB94FA3">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5C71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18" w:type="dxa"/>
            <w:vMerge w:val="continue"/>
            <w:vAlign w:val="center"/>
          </w:tcPr>
          <w:p w14:paraId="0BCCD43D">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2A5C5994">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信誉要求</w:t>
            </w:r>
          </w:p>
        </w:tc>
        <w:tc>
          <w:tcPr>
            <w:tcW w:w="3734" w:type="dxa"/>
            <w:vAlign w:val="center"/>
          </w:tcPr>
          <w:p w14:paraId="51F6220A">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03E1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818" w:type="dxa"/>
            <w:vMerge w:val="continue"/>
            <w:vAlign w:val="center"/>
          </w:tcPr>
          <w:p w14:paraId="4DA97E3A">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394010C3">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人员要求</w:t>
            </w:r>
          </w:p>
        </w:tc>
        <w:tc>
          <w:tcPr>
            <w:tcW w:w="3734" w:type="dxa"/>
            <w:vAlign w:val="center"/>
          </w:tcPr>
          <w:p w14:paraId="195668BA">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5555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18" w:type="dxa"/>
            <w:vMerge w:val="continue"/>
            <w:vAlign w:val="center"/>
          </w:tcPr>
          <w:p w14:paraId="6EDACE39">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10C439F9">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财务要求</w:t>
            </w:r>
          </w:p>
        </w:tc>
        <w:tc>
          <w:tcPr>
            <w:tcW w:w="3734" w:type="dxa"/>
            <w:vAlign w:val="center"/>
          </w:tcPr>
          <w:p w14:paraId="06A6EF2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5F2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818" w:type="dxa"/>
            <w:vMerge w:val="continue"/>
            <w:vAlign w:val="center"/>
          </w:tcPr>
          <w:p w14:paraId="668F2CCE">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33C99A20">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其他要求</w:t>
            </w:r>
          </w:p>
        </w:tc>
        <w:tc>
          <w:tcPr>
            <w:tcW w:w="3734" w:type="dxa"/>
            <w:vAlign w:val="center"/>
          </w:tcPr>
          <w:p w14:paraId="674EE2AF">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A77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18" w:type="dxa"/>
            <w:vMerge w:val="continue"/>
            <w:vAlign w:val="center"/>
          </w:tcPr>
          <w:p w14:paraId="3CFF5360">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792775F9">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6579E544">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2D35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818" w:type="dxa"/>
            <w:vMerge w:val="restart"/>
            <w:vAlign w:val="center"/>
          </w:tcPr>
          <w:p w14:paraId="31635F84">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响应性评审标准</w:t>
            </w:r>
          </w:p>
        </w:tc>
        <w:tc>
          <w:tcPr>
            <w:tcW w:w="2752" w:type="dxa"/>
            <w:vAlign w:val="center"/>
          </w:tcPr>
          <w:p w14:paraId="6675A567">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最高限价</w:t>
            </w:r>
          </w:p>
        </w:tc>
        <w:tc>
          <w:tcPr>
            <w:tcW w:w="3734" w:type="dxa"/>
            <w:vAlign w:val="center"/>
          </w:tcPr>
          <w:p w14:paraId="2910E893">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符合第二章前附表要求</w:t>
            </w:r>
          </w:p>
        </w:tc>
      </w:tr>
      <w:tr w14:paraId="23A3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18" w:type="dxa"/>
            <w:vMerge w:val="continue"/>
          </w:tcPr>
          <w:p w14:paraId="356FC7A2">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53929613">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比选有效期</w:t>
            </w:r>
          </w:p>
        </w:tc>
        <w:tc>
          <w:tcPr>
            <w:tcW w:w="3734" w:type="dxa"/>
            <w:vAlign w:val="center"/>
          </w:tcPr>
          <w:p w14:paraId="7CDD9EB1">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color w:val="auto"/>
                <w:sz w:val="22"/>
                <w:szCs w:val="22"/>
                <w:highlight w:val="none"/>
              </w:rPr>
              <w:t>符合第二章第二节总则 第</w:t>
            </w:r>
            <w:r>
              <w:rPr>
                <w:rFonts w:hint="eastAsia" w:ascii="Times New Roman" w:hAnsi="Times New Roman" w:eastAsia="仿宋" w:cs="Times New Roman"/>
                <w:color w:val="auto"/>
                <w:sz w:val="22"/>
                <w:szCs w:val="22"/>
                <w:highlight w:val="none"/>
                <w:lang w:val="en-US" w:eastAsia="zh-CN"/>
              </w:rPr>
              <w:t>7</w:t>
            </w:r>
            <w:r>
              <w:rPr>
                <w:rFonts w:ascii="Times New Roman" w:hAnsi="Times New Roman" w:eastAsia="仿宋" w:cs="Times New Roman"/>
                <w:color w:val="auto"/>
                <w:sz w:val="22"/>
                <w:szCs w:val="22"/>
                <w:highlight w:val="none"/>
              </w:rPr>
              <w:t>项规定</w:t>
            </w:r>
          </w:p>
        </w:tc>
      </w:tr>
      <w:tr w14:paraId="039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4AF11480">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1FE43F3F">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4D8B43E9">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bl>
    <w:p w14:paraId="4A49FE1A">
      <w:pPr>
        <w:spacing w:line="400" w:lineRule="exact"/>
        <w:ind w:firstLine="482" w:firstLineChars="200"/>
        <w:jc w:val="center"/>
        <w:rPr>
          <w:rFonts w:ascii="Times New Roman" w:hAnsi="Times New Roman" w:eastAsia="仿宋" w:cs="Times New Roman"/>
          <w:b/>
          <w:color w:val="auto"/>
          <w:kern w:val="0"/>
          <w:sz w:val="24"/>
          <w:highlight w:val="none"/>
        </w:rPr>
      </w:pPr>
      <w:r>
        <w:rPr>
          <w:rFonts w:ascii="Times New Roman" w:hAnsi="Times New Roman" w:eastAsia="仿宋" w:cs="Times New Roman"/>
          <w:b/>
          <w:color w:val="auto"/>
          <w:kern w:val="0"/>
          <w:sz w:val="24"/>
          <w:highlight w:val="none"/>
        </w:rPr>
        <w:br w:type="page"/>
      </w:r>
    </w:p>
    <w:bookmarkEnd w:id="149"/>
    <w:p w14:paraId="6AE2110C">
      <w:pPr>
        <w:jc w:val="center"/>
        <w:rPr>
          <w:rFonts w:hint="eastAsia" w:ascii="楷体" w:hAnsi="楷体" w:eastAsia="楷体" w:cs="楷体"/>
          <w:color w:val="000000" w:themeColor="text1"/>
          <w:sz w:val="21"/>
          <w:szCs w:val="21"/>
          <w:lang w:val="en-US" w:eastAsia="zh-CN"/>
          <w14:textFill>
            <w14:solidFill>
              <w14:schemeClr w14:val="tx1"/>
            </w14:solidFill>
          </w14:textFill>
        </w:rPr>
      </w:pPr>
      <w:bookmarkStart w:id="150" w:name="_Toc8490"/>
      <w:bookmarkStart w:id="151" w:name="_Toc19015"/>
      <w:r>
        <w:rPr>
          <w:rFonts w:hint="eastAsia" w:ascii="楷体" w:hAnsi="楷体" w:eastAsia="楷体" w:cs="楷体"/>
          <w:b w:val="0"/>
          <w:bCs w:val="0"/>
          <w:color w:val="000000" w:themeColor="text1"/>
          <w:sz w:val="32"/>
          <w:szCs w:val="32"/>
          <w:lang w:val="en-US" w:eastAsia="zh-CN"/>
          <w14:textFill>
            <w14:solidFill>
              <w14:schemeClr w14:val="tx1"/>
            </w14:solidFill>
          </w14:textFill>
        </w:rPr>
        <w:t>详细评审表</w:t>
      </w:r>
    </w:p>
    <w:p w14:paraId="6AC724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项目名称：四川省铁产石油化工有限责任公司与某公司欠款案专项律所公开选聘项目项目编号：TCSY20260301</w:t>
      </w:r>
    </w:p>
    <w:p w14:paraId="7E74E188">
      <w:pPr>
        <w:pStyle w:val="3"/>
        <w:rPr>
          <w:rFonts w:hint="eastAsia" w:ascii="楷体" w:hAnsi="楷体" w:eastAsia="楷体" w:cs="楷体"/>
          <w:color w:val="000000" w:themeColor="text1"/>
          <w:sz w:val="24"/>
          <w:szCs w:val="24"/>
          <w:lang w:val="en-US" w:eastAsia="zh-CN"/>
          <w14:textFill>
            <w14:solidFill>
              <w14:schemeClr w14:val="tx1"/>
            </w14:solidFill>
          </w14:textFill>
        </w:rPr>
      </w:pPr>
    </w:p>
    <w:p w14:paraId="03367AD4">
      <w:pPr>
        <w:spacing w:line="360" w:lineRule="auto"/>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pPr>
      <w:r>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t>有关</w:t>
      </w:r>
      <w:r>
        <w:rPr>
          <w:rFonts w:hint="eastAsia" w:ascii="方正楷体_GB2312" w:hAnsi="方正楷体_GB2312" w:eastAsia="方正楷体_GB2312" w:cs="方正楷体_GB2312"/>
          <w:color w:val="000000" w:themeColor="text1"/>
          <w:sz w:val="24"/>
          <w:szCs w:val="24"/>
          <w:highlight w:val="none"/>
          <w:lang w:val="en-US" w:eastAsia="zh-CN"/>
          <w14:textFill>
            <w14:solidFill>
              <w14:schemeClr w14:val="tx1"/>
            </w14:solidFill>
          </w14:textFill>
        </w:rPr>
        <w:t>报价</w:t>
      </w:r>
      <w:r>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t>事宜，在下列括弧内打</w:t>
      </w:r>
      <w:r>
        <w:rPr>
          <w:rFonts w:hint="eastAsia" w:ascii="方正楷体_GB2312" w:hAnsi="方正楷体_GB2312" w:eastAsia="方正楷体_GB2312" w:cs="方正楷体_GB2312"/>
          <w:color w:val="000000" w:themeColor="text1"/>
          <w:sz w:val="24"/>
          <w:szCs w:val="24"/>
          <w:highlight w:val="none"/>
          <w:lang w:eastAsia="zh-CN"/>
          <w14:textFill>
            <w14:solidFill>
              <w14:schemeClr w14:val="tx1"/>
            </w14:solidFill>
          </w14:textFill>
        </w:rPr>
        <w:t>“</w:t>
      </w:r>
      <w:r>
        <w:rPr>
          <w:rFonts w:hint="eastAsia" w:ascii="方正楷体_GB2312" w:hAnsi="方正楷体_GB2312" w:eastAsia="方正楷体_GB2312" w:cs="方正楷体_GB2312"/>
          <w:color w:val="000000" w:themeColor="text1"/>
          <w:sz w:val="24"/>
          <w:szCs w:val="24"/>
          <w:highlight w:val="none"/>
          <w:lang w:val="en-US" w:eastAsia="zh-CN"/>
          <w14:textFill>
            <w14:solidFill>
              <w14:schemeClr w14:val="tx1"/>
            </w14:solidFill>
          </w14:textFill>
        </w:rPr>
        <w:t>√</w:t>
      </w:r>
      <w:r>
        <w:rPr>
          <w:rFonts w:hint="eastAsia" w:ascii="方正楷体_GB2312" w:hAnsi="方正楷体_GB2312" w:eastAsia="方正楷体_GB2312" w:cs="方正楷体_GB2312"/>
          <w:color w:val="000000" w:themeColor="text1"/>
          <w:sz w:val="24"/>
          <w:szCs w:val="24"/>
          <w:highlight w:val="none"/>
          <w:lang w:eastAsia="zh-CN"/>
          <w14:textFill>
            <w14:solidFill>
              <w14:schemeClr w14:val="tx1"/>
            </w14:solidFill>
          </w14:textFill>
        </w:rPr>
        <w:t>”</w:t>
      </w:r>
      <w:r>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t>者是</w:t>
      </w:r>
      <w:r>
        <w:rPr>
          <w:rFonts w:hint="eastAsia" w:ascii="方正楷体_GB2312" w:hAnsi="方正楷体_GB2312" w:eastAsia="方正楷体_GB2312" w:cs="方正楷体_GB2312"/>
          <w:color w:val="000000" w:themeColor="text1"/>
          <w:sz w:val="24"/>
          <w:szCs w:val="24"/>
          <w:highlight w:val="none"/>
          <w:lang w:val="en-US" w:eastAsia="zh-CN"/>
          <w14:textFill>
            <w14:solidFill>
              <w14:schemeClr w14:val="tx1"/>
            </w14:solidFill>
          </w14:textFill>
        </w:rPr>
        <w:t>满足竞争性谈判文件价格要求的</w:t>
      </w:r>
      <w:r>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t>：</w:t>
      </w:r>
    </w:p>
    <w:p w14:paraId="7FD073EB">
      <w:pPr>
        <w:spacing w:line="360" w:lineRule="auto"/>
        <w:ind w:firstLine="480" w:firstLineChars="200"/>
        <w:jc w:val="left"/>
        <w:rPr>
          <w:rFonts w:hint="eastAsia" w:ascii="方正楷体_GB2312" w:hAnsi="方正楷体_GB2312" w:eastAsia="方正楷体_GB2312" w:cs="方正楷体_GB2312"/>
          <w:color w:val="000000" w:themeColor="text1"/>
          <w:sz w:val="24"/>
          <w:szCs w:val="24"/>
          <w:highlight w:val="none"/>
          <w:lang w:val="en-US" w:eastAsia="zh-CN"/>
          <w14:textFill>
            <w14:solidFill>
              <w14:schemeClr w14:val="tx1"/>
            </w14:solidFill>
          </w14:textFill>
        </w:rPr>
      </w:pPr>
      <w:r>
        <w:rPr>
          <w:rFonts w:hint="eastAsia" w:ascii="方正楷体_GB2312" w:hAnsi="方正楷体_GB2312" w:eastAsia="方正楷体_GB2312" w:cs="方正楷体_GB2312"/>
          <w:color w:val="000000" w:themeColor="text1"/>
          <w:sz w:val="24"/>
          <w:szCs w:val="24"/>
          <w:highlight w:val="none"/>
          <w:lang w:val="en-US" w:eastAsia="zh-CN"/>
          <w14:textFill>
            <w14:solidFill>
              <w14:schemeClr w14:val="tx1"/>
            </w14:solidFill>
          </w14:textFill>
        </w:rPr>
        <w:t xml:space="preserve">四川于易律师事务所-报价xx               </w:t>
      </w:r>
      <w:r>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t>（</w:t>
      </w:r>
      <w:r>
        <w:rPr>
          <w:rFonts w:hint="eastAsia" w:ascii="方正楷体_GB2312" w:hAnsi="方正楷体_GB2312" w:eastAsia="方正楷体_GB2312" w:cs="方正楷体_GB2312"/>
          <w:color w:val="000000" w:themeColor="text1"/>
          <w:sz w:val="24"/>
          <w:szCs w:val="24"/>
          <w:highlight w:val="none"/>
          <w:lang w:val="en-US" w:eastAsia="zh-CN"/>
          <w14:textFill>
            <w14:solidFill>
              <w14:schemeClr w14:val="tx1"/>
            </w14:solidFill>
          </w14:textFill>
        </w:rPr>
        <w:t xml:space="preserve">  </w:t>
      </w:r>
      <w:r>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t>）</w:t>
      </w:r>
      <w:r>
        <w:rPr>
          <w:rFonts w:hint="eastAsia" w:ascii="方正楷体_GB2312" w:hAnsi="方正楷体_GB2312" w:eastAsia="方正楷体_GB2312" w:cs="方正楷体_GB2312"/>
          <w:color w:val="000000" w:themeColor="text1"/>
          <w:sz w:val="24"/>
          <w:szCs w:val="24"/>
          <w:highlight w:val="none"/>
          <w:lang w:val="en-US" w:eastAsia="zh-CN"/>
          <w14:textFill>
            <w14:solidFill>
              <w14:schemeClr w14:val="tx1"/>
            </w14:solidFill>
          </w14:textFill>
        </w:rPr>
        <w:t xml:space="preserve"> </w:t>
      </w:r>
    </w:p>
    <w:p w14:paraId="01EFE891">
      <w:pPr>
        <w:spacing w:line="360" w:lineRule="auto"/>
        <w:ind w:firstLine="480" w:firstLineChars="200"/>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pPr>
      <w:r>
        <w:rPr>
          <w:rFonts w:hint="eastAsia" w:ascii="方正楷体_GB2312" w:hAnsi="方正楷体_GB2312" w:eastAsia="方正楷体_GB2312" w:cs="方正楷体_GB2312"/>
          <w:color w:val="000000" w:themeColor="text1"/>
          <w:sz w:val="24"/>
          <w:szCs w:val="24"/>
          <w:highlight w:val="none"/>
          <w:lang w:val="en-US" w:eastAsia="zh-CN"/>
          <w14:textFill>
            <w14:solidFill>
              <w14:schemeClr w14:val="tx1"/>
            </w14:solidFill>
          </w14:textFill>
        </w:rPr>
        <w:t xml:space="preserve">北京东卫（成都）律师事务所 -报价xx      </w:t>
      </w:r>
      <w:r>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t>（</w:t>
      </w:r>
      <w:r>
        <w:rPr>
          <w:rFonts w:hint="eastAsia" w:ascii="方正楷体_GB2312" w:hAnsi="方正楷体_GB2312" w:eastAsia="方正楷体_GB2312" w:cs="方正楷体_GB2312"/>
          <w:color w:val="000000" w:themeColor="text1"/>
          <w:sz w:val="24"/>
          <w:szCs w:val="24"/>
          <w:highlight w:val="none"/>
          <w:lang w:val="en-US" w:eastAsia="zh-CN"/>
          <w14:textFill>
            <w14:solidFill>
              <w14:schemeClr w14:val="tx1"/>
            </w14:solidFill>
          </w14:textFill>
        </w:rPr>
        <w:t xml:space="preserve">  </w:t>
      </w:r>
      <w:r>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t>）</w:t>
      </w:r>
    </w:p>
    <w:p w14:paraId="59C88D36">
      <w:pPr>
        <w:rPr>
          <w:rFonts w:hint="default"/>
          <w:lang w:val="en-US" w:eastAsia="zh-CN"/>
        </w:rPr>
      </w:pPr>
    </w:p>
    <w:p w14:paraId="782AEC4C">
      <w:pPr>
        <w:spacing w:line="400" w:lineRule="exact"/>
        <w:ind w:firstLine="643" w:firstLineChars="200"/>
        <w:jc w:val="center"/>
        <w:rPr>
          <w:rFonts w:ascii="Times New Roman" w:hAnsi="Times New Roman" w:eastAsia="仿宋" w:cs="Times New Roman"/>
          <w:b/>
          <w:color w:val="auto"/>
          <w:kern w:val="0"/>
          <w:sz w:val="32"/>
          <w:szCs w:val="32"/>
          <w:highlight w:val="none"/>
        </w:rPr>
      </w:pPr>
    </w:p>
    <w:bookmarkEnd w:id="150"/>
    <w:bookmarkEnd w:id="151"/>
    <w:p w14:paraId="2C6E04BE">
      <w:pPr>
        <w:pStyle w:val="3"/>
        <w:rPr>
          <w:rFonts w:hint="eastAsia" w:ascii="楷体" w:hAnsi="楷体" w:eastAsia="楷体"/>
          <w:color w:val="auto"/>
          <w:highlight w:val="none"/>
          <w:lang w:val="en-US" w:eastAsia="zh-CN"/>
        </w:rPr>
      </w:pPr>
    </w:p>
    <w:p w14:paraId="3C3FEADC">
      <w:pPr>
        <w:rPr>
          <w:rFonts w:hint="eastAsia" w:ascii="楷体" w:hAnsi="楷体" w:eastAsia="楷体"/>
          <w:color w:val="auto"/>
          <w:highlight w:val="none"/>
          <w:lang w:val="en-US" w:eastAsia="zh-CN"/>
        </w:rPr>
      </w:pPr>
    </w:p>
    <w:p w14:paraId="1B2212AA">
      <w:pPr>
        <w:pStyle w:val="3"/>
        <w:rPr>
          <w:rFonts w:hint="eastAsia" w:ascii="楷体" w:hAnsi="楷体" w:eastAsia="楷体"/>
          <w:color w:val="auto"/>
          <w:highlight w:val="none"/>
          <w:lang w:val="en-US" w:eastAsia="zh-CN"/>
        </w:rPr>
      </w:pPr>
    </w:p>
    <w:p w14:paraId="68CEE453">
      <w:pPr>
        <w:rPr>
          <w:rFonts w:hint="eastAsia" w:ascii="楷体" w:hAnsi="楷体" w:eastAsia="楷体"/>
          <w:color w:val="auto"/>
          <w:highlight w:val="none"/>
          <w:lang w:val="en-US" w:eastAsia="zh-CN"/>
        </w:rPr>
      </w:pPr>
    </w:p>
    <w:p w14:paraId="3DBB9A8F">
      <w:pPr>
        <w:pStyle w:val="3"/>
        <w:rPr>
          <w:rFonts w:hint="eastAsia"/>
          <w:color w:val="auto"/>
          <w:highlight w:val="none"/>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42085AA-A780-481A-BC9C-891D7E2D6617}"/>
  </w:font>
  <w:font w:name="Calibri Light">
    <w:panose1 w:val="020F03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CF68A4DF-1F4C-49DF-ABD1-54B3136B50F7}"/>
  </w:font>
  <w:font w:name="方正小标宋简体">
    <w:panose1 w:val="03000509000000000000"/>
    <w:charset w:val="86"/>
    <w:family w:val="auto"/>
    <w:pitch w:val="default"/>
    <w:sig w:usb0="00000001" w:usb1="080E0000" w:usb2="00000000" w:usb3="00000000" w:csb0="00040000" w:csb1="00000000"/>
    <w:embedRegular r:id="rId3" w:fontKey="{9948C389-D2CE-4C7B-AE15-94816DC37F32}"/>
  </w:font>
  <w:font w:name="仿宋">
    <w:panose1 w:val="02010609060101010101"/>
    <w:charset w:val="86"/>
    <w:family w:val="auto"/>
    <w:pitch w:val="default"/>
    <w:sig w:usb0="800002BF" w:usb1="38CF7CFA" w:usb2="00000016" w:usb3="00000000" w:csb0="00040001" w:csb1="00000000"/>
    <w:embedRegular r:id="rId4" w:fontKey="{4418F208-0A56-41F9-95CB-4E6EA539661F}"/>
  </w:font>
  <w:font w:name="仿宋_GB2312">
    <w:panose1 w:val="02010609030101010101"/>
    <w:charset w:val="86"/>
    <w:family w:val="auto"/>
    <w:pitch w:val="default"/>
    <w:sig w:usb0="00000001" w:usb1="080E0000" w:usb2="00000000" w:usb3="00000000" w:csb0="00040000" w:csb1="00000000"/>
    <w:embedRegular r:id="rId5" w:fontKey="{93814DAA-4F72-4B02-9375-F7D876A2E6D3}"/>
  </w:font>
  <w:font w:name="方正楷体_GB2312">
    <w:panose1 w:val="02000000000000000000"/>
    <w:charset w:val="86"/>
    <w:family w:val="auto"/>
    <w:pitch w:val="default"/>
    <w:sig w:usb0="A00002BF" w:usb1="184F6CFA" w:usb2="00000012" w:usb3="00000000" w:csb0="00040001" w:csb1="00000000"/>
    <w:embedRegular r:id="rId6" w:fontKey="{ADF83026-10BA-4045-B2E1-81F49D9AE2B5}"/>
  </w:font>
  <w:font w:name="华文仿宋">
    <w:altName w:val="仿宋"/>
    <w:panose1 w:val="02010600040101010101"/>
    <w:charset w:val="86"/>
    <w:family w:val="auto"/>
    <w:pitch w:val="default"/>
    <w:sig w:usb0="00000000" w:usb1="00000000" w:usb2="00000000" w:usb3="00000000" w:csb0="0004009F" w:csb1="DFD70000"/>
    <w:embedRegular r:id="rId7" w:fontKey="{20790D5E-1BE7-4415-85A0-CE5B07D43C96}"/>
  </w:font>
  <w:font w:name="楷体">
    <w:panose1 w:val="02010609060101010101"/>
    <w:charset w:val="86"/>
    <w:family w:val="auto"/>
    <w:pitch w:val="default"/>
    <w:sig w:usb0="800002BF" w:usb1="38CF7CFA" w:usb2="00000016" w:usb3="00000000" w:csb0="00040001" w:csb1="00000000"/>
    <w:embedRegular r:id="rId8" w:fontKey="{9BC70BFC-6BE0-49DA-8FEF-B5DEC07FA4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1D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AE3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8ABB">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8670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5328670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52DD">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0452DD">
                    <w:pPr>
                      <w:pStyle w:val="4"/>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371E">
    <w:pPr>
      <w:pStyle w:val="4"/>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96CBA">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10696CBA">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2955290</wp:posOffset>
              </wp:positionH>
              <wp:positionV relativeFrom="paragraph">
                <wp:posOffset>-75565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3C40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7pt;margin-top:-5.95pt;height:144pt;width:144pt;mso-position-horizontal-relative:margin;mso-wrap-style:none;z-index:251662336;mso-width-relative:page;mso-height-relative:page;" filled="f" stroked="f" coordsize="21600,21600" o:gfxdata="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peje2QAAAAsBAAAPAAAAAAAAAAEAIAAAACIAAABkcnMvZG93bnJldi54&#10;bWxQSwECFAAUAAAACACHTuJAApUg9DICAABhBAAADgAAAAAAAAABACAAAAAoAQAAZHJzL2Uyb0Rv&#10;Yy54bWxQSwUGAAAAAAYABgBZAQAAzAUAAAAA&#10;">
              <v:fill on="f" focussize="0,0"/>
              <v:stroke on="f" weight="0.5pt"/>
              <v:imagedata o:title=""/>
              <o:lock v:ext="edit" aspectratio="f"/>
              <v:textbox inset="0mm,0mm,0mm,0mm" style="mso-fit-shape-to-text:t;">
                <w:txbxContent>
                  <w:p w14:paraId="20C3C40B">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5EA6F">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45EA6F">
                    <w:pPr>
                      <w:pStyle w:val="4"/>
                      <w:rPr>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67D2">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1395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3/pUs3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Cd/6VLNwIAAG0EAAAOAAAAAAAAAAEAIAAAACUBAABkcnMvZTJv&#10;RG9jLnhtbFBLBQYAAAAABgAGAFkBAADOBQAAAAA=&#10;">
              <v:fill on="f" focussize="0,0"/>
              <v:stroke on="f" weight="0.5pt"/>
              <v:imagedata o:title=""/>
              <o:lock v:ext="edit" aspectratio="f"/>
              <v:textbox inset="16pt,0mm,16pt,0mm" style="mso-fit-shape-to-text:t;">
                <w:txbxContent>
                  <w:p w14:paraId="29A1395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5BBC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B85BBCB">
                    <w:pPr>
                      <w:pStyle w:val="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4C7C">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B09A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605B09A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D531">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FCD531">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C1BC">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CF4E">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71B96"/>
    <w:multiLevelType w:val="singleLevel"/>
    <w:tmpl w:val="3B171B96"/>
    <w:lvl w:ilvl="0" w:tentative="0">
      <w:start w:val="1"/>
      <w:numFmt w:val="chineseCounting"/>
      <w:suff w:val="space"/>
      <w:lvlText w:val="第%1章"/>
      <w:lvlJc w:val="left"/>
      <w:rPr>
        <w:rFonts w:hint="eastAsia"/>
      </w:rPr>
    </w:lvl>
  </w:abstractNum>
  <w:abstractNum w:abstractNumId="1">
    <w:nsid w:val="6A0664E0"/>
    <w:multiLevelType w:val="singleLevel"/>
    <w:tmpl w:val="6A0664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jBkNjI0YzU3MTYwZWZlODdhMzBiNjdmZjkzMzUifQ=="/>
  </w:docVars>
  <w:rsids>
    <w:rsidRoot w:val="06024BFC"/>
    <w:rsid w:val="01195218"/>
    <w:rsid w:val="01453484"/>
    <w:rsid w:val="03676BDB"/>
    <w:rsid w:val="03C341DC"/>
    <w:rsid w:val="03FC42A4"/>
    <w:rsid w:val="0456002C"/>
    <w:rsid w:val="049D5915"/>
    <w:rsid w:val="06024BFC"/>
    <w:rsid w:val="065110AA"/>
    <w:rsid w:val="07276ACE"/>
    <w:rsid w:val="075524D7"/>
    <w:rsid w:val="07870B30"/>
    <w:rsid w:val="0D200F3F"/>
    <w:rsid w:val="0EC638B0"/>
    <w:rsid w:val="0EDE1004"/>
    <w:rsid w:val="118C18B9"/>
    <w:rsid w:val="135D2B0C"/>
    <w:rsid w:val="14A7065D"/>
    <w:rsid w:val="16E113E5"/>
    <w:rsid w:val="179F5363"/>
    <w:rsid w:val="193C6928"/>
    <w:rsid w:val="1A0A55F4"/>
    <w:rsid w:val="1C9553F8"/>
    <w:rsid w:val="1D085BCA"/>
    <w:rsid w:val="1E1E3077"/>
    <w:rsid w:val="1EAA0208"/>
    <w:rsid w:val="20427E9A"/>
    <w:rsid w:val="22AA7723"/>
    <w:rsid w:val="23EC2C06"/>
    <w:rsid w:val="26376D35"/>
    <w:rsid w:val="2A4D7312"/>
    <w:rsid w:val="2A952A67"/>
    <w:rsid w:val="2B5335E7"/>
    <w:rsid w:val="2E150147"/>
    <w:rsid w:val="30556337"/>
    <w:rsid w:val="317452BC"/>
    <w:rsid w:val="33BC18BA"/>
    <w:rsid w:val="34594345"/>
    <w:rsid w:val="34634EE0"/>
    <w:rsid w:val="35696FCA"/>
    <w:rsid w:val="37462400"/>
    <w:rsid w:val="3A194DF3"/>
    <w:rsid w:val="3A50745A"/>
    <w:rsid w:val="3B0F1F28"/>
    <w:rsid w:val="3B2F036E"/>
    <w:rsid w:val="3DF75AAA"/>
    <w:rsid w:val="3E297E8A"/>
    <w:rsid w:val="3F495D63"/>
    <w:rsid w:val="3FEA043A"/>
    <w:rsid w:val="420248A2"/>
    <w:rsid w:val="46C25B9D"/>
    <w:rsid w:val="47763048"/>
    <w:rsid w:val="49CA40B9"/>
    <w:rsid w:val="4B4000A2"/>
    <w:rsid w:val="4DC8252A"/>
    <w:rsid w:val="4E671CA0"/>
    <w:rsid w:val="51F660CD"/>
    <w:rsid w:val="53910557"/>
    <w:rsid w:val="539620A7"/>
    <w:rsid w:val="548D4619"/>
    <w:rsid w:val="56DC71A4"/>
    <w:rsid w:val="58BA314C"/>
    <w:rsid w:val="594E3CA4"/>
    <w:rsid w:val="59D6437F"/>
    <w:rsid w:val="5CAA2060"/>
    <w:rsid w:val="5CBE5452"/>
    <w:rsid w:val="5DCC1F1C"/>
    <w:rsid w:val="5E0D2339"/>
    <w:rsid w:val="5F6D7B45"/>
    <w:rsid w:val="5FBB4071"/>
    <w:rsid w:val="63177FF2"/>
    <w:rsid w:val="633839B4"/>
    <w:rsid w:val="647E189B"/>
    <w:rsid w:val="64B93AF6"/>
    <w:rsid w:val="65804045"/>
    <w:rsid w:val="67BC7BE0"/>
    <w:rsid w:val="67C27211"/>
    <w:rsid w:val="6AAA5ADF"/>
    <w:rsid w:val="6C0B1393"/>
    <w:rsid w:val="6C2D44BC"/>
    <w:rsid w:val="6D453B1E"/>
    <w:rsid w:val="6E820728"/>
    <w:rsid w:val="6F0A08FB"/>
    <w:rsid w:val="70E341B7"/>
    <w:rsid w:val="71B72890"/>
    <w:rsid w:val="73F43927"/>
    <w:rsid w:val="784F55D0"/>
    <w:rsid w:val="7B8B4B71"/>
    <w:rsid w:val="7DE14F1D"/>
    <w:rsid w:val="7E36681D"/>
    <w:rsid w:val="7F0013D2"/>
    <w:rsid w:val="7F47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kern w:val="0"/>
      <w:sz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7835</Words>
  <Characters>8152</Characters>
  <Lines>0</Lines>
  <Paragraphs>0</Paragraphs>
  <TotalTime>6</TotalTime>
  <ScaleCrop>false</ScaleCrop>
  <LinksUpToDate>false</LinksUpToDate>
  <CharactersWithSpaces>8988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2023-10-25T09:12:00Z</dcterms:created>
  <dc:creator>倾拥</dc:creator>
  <cp:lastModifiedBy>袁梦</cp:lastModifiedBy>
  <cp:lastPrinted>2026-03-30T06:41:00Z</cp:lastPrinted>
  <dcterms:modified xsi:type="dcterms:W3CDTF">2026-05-09T02:38:11Z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D9A2C96D86924EF8AA76450086A09297_13</vt:lpwstr>
  </property>
  <property fmtid="{D5CDD505-2E9C-101B-9397-08002B2CF9AE}" pid="4" name="KSOTemplateDocerSaveRecord">
    <vt:lpwstr>eyJoZGlkIjoiZDIzZGNhNDY4OTNjYWQ2M2EyNDlhMDBhNmVhNGRmYWUiLCJ1c2VySWQiOiIxNjMzMTQwNTc4In0=</vt:lpwstr>
  </property>
</Properties>
</file>