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360" w:lineRule="auto"/>
        <w:ind w:left="0"/>
        <w:jc w:val="center"/>
        <w:rPr>
          <w:rFonts w:hAnsi="宋体" w:cs="Times New Roman"/>
          <w:b/>
          <w:spacing w:val="-1"/>
          <w:sz w:val="36"/>
          <w:szCs w:val="36"/>
          <w:highlight w:val="none"/>
        </w:rPr>
      </w:pPr>
    </w:p>
    <w:p>
      <w:pPr>
        <w:pStyle w:val="18"/>
        <w:ind w:left="0" w:leftChars="0" w:firstLine="0" w:firstLineChars="0"/>
        <w:rPr>
          <w:color w:val="auto"/>
        </w:rPr>
      </w:pP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四川蜀物兴川物流发展有限公司</w:t>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val="en-US" w:eastAsia="zh-CN"/>
        </w:rPr>
        <w:t>与深圳某国企买卖合同纠纷</w:t>
      </w:r>
      <w:r>
        <w:rPr>
          <w:rFonts w:hint="eastAsia" w:ascii="方正小标宋简体" w:hAnsi="方正小标宋简体" w:eastAsia="方正小标宋简体" w:cs="方正小标宋简体"/>
          <w:bCs/>
          <w:color w:val="auto"/>
          <w:sz w:val="44"/>
          <w:szCs w:val="44"/>
        </w:rPr>
        <w:t>法律服务项目</w:t>
      </w:r>
    </w:p>
    <w:p>
      <w:pPr>
        <w:pStyle w:val="14"/>
        <w:kinsoku w:val="0"/>
        <w:overflowPunct w:val="0"/>
        <w:ind w:left="0"/>
        <w:rPr>
          <w:rFonts w:hAnsi="宋体"/>
          <w:sz w:val="20"/>
          <w:szCs w:val="20"/>
          <w:highlight w:val="none"/>
        </w:rPr>
      </w:pPr>
    </w:p>
    <w:p>
      <w:pPr>
        <w:pStyle w:val="14"/>
        <w:kinsoku w:val="0"/>
        <w:overflowPunct w:val="0"/>
        <w:ind w:left="0"/>
        <w:rPr>
          <w:rFonts w:hAnsi="宋体"/>
          <w:sz w:val="20"/>
          <w:szCs w:val="20"/>
          <w:highlight w:val="none"/>
        </w:rPr>
      </w:pPr>
    </w:p>
    <w:p>
      <w:pPr>
        <w:pStyle w:val="14"/>
        <w:kinsoku w:val="0"/>
        <w:overflowPunct w:val="0"/>
        <w:spacing w:line="360" w:lineRule="auto"/>
        <w:ind w:left="0"/>
        <w:jc w:val="center"/>
        <w:rPr>
          <w:rFonts w:hAnsi="宋体"/>
          <w:b/>
          <w:sz w:val="44"/>
          <w:szCs w:val="44"/>
          <w:highlight w:val="none"/>
        </w:rPr>
      </w:pPr>
    </w:p>
    <w:p>
      <w:pPr>
        <w:pStyle w:val="14"/>
        <w:kinsoku w:val="0"/>
        <w:overflowPunct w:val="0"/>
        <w:spacing w:line="360" w:lineRule="auto"/>
        <w:ind w:left="0"/>
        <w:jc w:val="center"/>
        <w:rPr>
          <w:rFonts w:hAnsi="宋体"/>
          <w:b/>
          <w:sz w:val="44"/>
          <w:szCs w:val="44"/>
          <w:highlight w:val="none"/>
        </w:rPr>
      </w:pPr>
    </w:p>
    <w:p>
      <w:pPr>
        <w:pStyle w:val="14"/>
        <w:kinsoku w:val="0"/>
        <w:overflowPunct w:val="0"/>
        <w:spacing w:line="360" w:lineRule="auto"/>
        <w:ind w:left="0"/>
        <w:jc w:val="center"/>
        <w:rPr>
          <w:rFonts w:hint="eastAsia" w:ascii="方正小标宋_GBK" w:hAnsi="方正小标宋_GBK" w:eastAsia="方正小标宋_GBK" w:cs="方正小标宋_GBK"/>
          <w:color w:val="auto"/>
          <w:kern w:val="0"/>
          <w:sz w:val="56"/>
          <w:szCs w:val="56"/>
          <w:lang w:val="en-US" w:eastAsia="zh-CN" w:bidi="ar-SA"/>
        </w:rPr>
      </w:pPr>
      <w:r>
        <w:rPr>
          <w:rFonts w:hint="eastAsia" w:ascii="方正小标宋_GBK" w:hAnsi="方正小标宋_GBK" w:eastAsia="方正小标宋_GBK" w:cs="方正小标宋_GBK"/>
          <w:color w:val="auto"/>
          <w:kern w:val="0"/>
          <w:sz w:val="56"/>
          <w:szCs w:val="56"/>
          <w:lang w:val="en-US" w:eastAsia="zh-CN" w:bidi="ar-SA"/>
        </w:rPr>
        <w:t>比 选 文 件</w:t>
      </w:r>
    </w:p>
    <w:p>
      <w:pPr>
        <w:pStyle w:val="14"/>
        <w:kinsoku w:val="0"/>
        <w:overflowPunct w:val="0"/>
        <w:ind w:left="0"/>
        <w:rPr>
          <w:rFonts w:hAnsi="宋体"/>
          <w:sz w:val="20"/>
          <w:szCs w:val="20"/>
          <w:highlight w:val="none"/>
        </w:rPr>
      </w:pPr>
    </w:p>
    <w:p>
      <w:pPr>
        <w:pStyle w:val="14"/>
        <w:kinsoku w:val="0"/>
        <w:overflowPunct w:val="0"/>
        <w:ind w:left="0"/>
        <w:rPr>
          <w:rFonts w:hAnsi="宋体"/>
          <w:sz w:val="20"/>
          <w:szCs w:val="20"/>
          <w:highlight w:val="none"/>
        </w:rPr>
      </w:pPr>
    </w:p>
    <w:p>
      <w:pPr>
        <w:pStyle w:val="14"/>
        <w:kinsoku w:val="0"/>
        <w:overflowPunct w:val="0"/>
        <w:ind w:left="0"/>
        <w:rPr>
          <w:rFonts w:hAnsi="宋体"/>
          <w:sz w:val="20"/>
          <w:szCs w:val="20"/>
          <w:highlight w:val="none"/>
        </w:rPr>
      </w:pPr>
    </w:p>
    <w:p>
      <w:pPr>
        <w:pStyle w:val="14"/>
        <w:tabs>
          <w:tab w:val="left" w:pos="2593"/>
        </w:tabs>
        <w:kinsoku w:val="0"/>
        <w:overflowPunct w:val="0"/>
        <w:spacing w:line="360" w:lineRule="auto"/>
        <w:ind w:left="0"/>
        <w:rPr>
          <w:rFonts w:hAnsi="宋体"/>
          <w:sz w:val="24"/>
          <w:szCs w:val="24"/>
          <w:highlight w:val="none"/>
        </w:rPr>
      </w:pPr>
    </w:p>
    <w:p>
      <w:pPr>
        <w:pStyle w:val="6"/>
        <w:rPr>
          <w:rFonts w:ascii="宋体" w:hAnsi="宋体" w:cs="宋体"/>
          <w:highlight w:val="none"/>
        </w:rPr>
      </w:pPr>
    </w:p>
    <w:p>
      <w:pPr>
        <w:spacing w:after="0" w:line="600" w:lineRule="auto"/>
        <w:ind w:firstLine="560" w:firstLineChars="200"/>
        <w:outlineLvl w:val="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p>
    <w:p>
      <w:pPr>
        <w:spacing w:after="0" w:line="600" w:lineRule="auto"/>
        <w:ind w:firstLine="630" w:firstLineChars="196"/>
        <w:jc w:val="center"/>
        <w:outlineLvl w:val="0"/>
        <w:rPr>
          <w:rFonts w:ascii="宋体" w:hAnsi="宋体" w:eastAsia="宋体" w:cs="宋体"/>
          <w:b/>
          <w:color w:val="auto"/>
          <w:sz w:val="32"/>
          <w:szCs w:val="32"/>
          <w:highlight w:val="none"/>
        </w:rPr>
      </w:pPr>
      <w:bookmarkStart w:id="0" w:name="_Toc12131"/>
      <w:bookmarkStart w:id="1" w:name="_Toc30100"/>
      <w:r>
        <w:rPr>
          <w:rFonts w:hint="eastAsia" w:ascii="宋体" w:hAnsi="宋体" w:eastAsia="宋体" w:cs="宋体"/>
          <w:b/>
          <w:color w:val="auto"/>
          <w:sz w:val="32"/>
          <w:szCs w:val="32"/>
          <w:highlight w:val="none"/>
          <w:lang w:val="en-US" w:eastAsia="zh-CN"/>
        </w:rPr>
        <w:t>比选</w:t>
      </w:r>
      <w:r>
        <w:rPr>
          <w:rFonts w:hint="eastAsia" w:ascii="宋体" w:hAnsi="宋体" w:eastAsia="宋体" w:cs="宋体"/>
          <w:b/>
          <w:color w:val="auto"/>
          <w:sz w:val="32"/>
          <w:szCs w:val="32"/>
          <w:highlight w:val="none"/>
        </w:rPr>
        <w:t>人：</w:t>
      </w:r>
      <w:r>
        <w:rPr>
          <w:rFonts w:hint="eastAsia" w:ascii="宋体" w:hAnsi="宋体" w:eastAsia="宋体" w:cs="宋体"/>
          <w:b/>
          <w:bCs/>
          <w:color w:val="auto"/>
          <w:sz w:val="32"/>
          <w:szCs w:val="32"/>
          <w:highlight w:val="none"/>
          <w:u w:val="none"/>
          <w:lang w:eastAsia="zh-CN"/>
        </w:rPr>
        <w:t>四川蜀物兴川物流发展有限公司</w:t>
      </w:r>
      <w:r>
        <w:rPr>
          <w:rFonts w:hint="eastAsia" w:ascii="宋体" w:hAnsi="宋体" w:eastAsia="宋体" w:cs="宋体"/>
          <w:b/>
          <w:color w:val="auto"/>
          <w:sz w:val="32"/>
          <w:szCs w:val="32"/>
          <w:highlight w:val="none"/>
        </w:rPr>
        <w:t>（盖单位章）</w:t>
      </w:r>
      <w:bookmarkEnd w:id="0"/>
      <w:bookmarkEnd w:id="1"/>
    </w:p>
    <w:p>
      <w:pPr>
        <w:pStyle w:val="14"/>
        <w:tabs>
          <w:tab w:val="left" w:pos="2593"/>
        </w:tabs>
        <w:kinsoku w:val="0"/>
        <w:overflowPunct w:val="0"/>
        <w:spacing w:line="480" w:lineRule="auto"/>
        <w:ind w:left="0"/>
        <w:jc w:val="center"/>
        <w:rPr>
          <w:rFonts w:hAnsi="宋体"/>
          <w:b/>
          <w:sz w:val="32"/>
          <w:szCs w:val="32"/>
          <w:highlight w:val="none"/>
          <w:u w:val="none"/>
        </w:rPr>
        <w:sectPr>
          <w:pgSz w:w="11906" w:h="16838"/>
          <w:pgMar w:top="1475" w:right="1680" w:bottom="1491" w:left="1800" w:header="720" w:footer="720" w:gutter="0"/>
          <w:cols w:space="720" w:num="1"/>
        </w:sectPr>
      </w:pPr>
      <w:r>
        <w:rPr>
          <w:rFonts w:hint="eastAsia" w:hAnsi="宋体" w:cs="Times New Roman"/>
          <w:b/>
          <w:sz w:val="32"/>
          <w:szCs w:val="32"/>
          <w:highlight w:val="none"/>
          <w:u w:val="none"/>
          <w:lang w:eastAsia="zh-CN"/>
        </w:rPr>
        <w:t>二〇二</w:t>
      </w:r>
      <w:r>
        <w:rPr>
          <w:rFonts w:hint="eastAsia" w:hAnsi="宋体" w:cs="Times New Roman"/>
          <w:b/>
          <w:sz w:val="32"/>
          <w:szCs w:val="32"/>
          <w:highlight w:val="none"/>
          <w:u w:val="none"/>
          <w:lang w:val="en-US" w:eastAsia="zh-CN"/>
        </w:rPr>
        <w:t>五</w:t>
      </w:r>
      <w:r>
        <w:rPr>
          <w:rFonts w:hint="eastAsia" w:hAnsi="宋体"/>
          <w:b/>
          <w:sz w:val="32"/>
          <w:szCs w:val="32"/>
          <w:highlight w:val="none"/>
          <w:u w:val="none"/>
        </w:rPr>
        <w:t>年</w:t>
      </w:r>
      <w:r>
        <w:rPr>
          <w:rFonts w:hint="eastAsia" w:hAnsi="宋体"/>
          <w:b/>
          <w:sz w:val="32"/>
          <w:szCs w:val="32"/>
          <w:highlight w:val="none"/>
          <w:u w:val="none"/>
          <w:lang w:val="en-US" w:eastAsia="zh-CN"/>
        </w:rPr>
        <w:t>七</w:t>
      </w:r>
      <w:r>
        <w:rPr>
          <w:rFonts w:hint="eastAsia" w:hAnsi="宋体"/>
          <w:b/>
          <w:sz w:val="32"/>
          <w:szCs w:val="32"/>
          <w:highlight w:val="none"/>
          <w:u w:val="none"/>
        </w:rPr>
        <w:t>月</w:t>
      </w:r>
      <w:bookmarkStart w:id="61" w:name="_GoBack"/>
      <w:bookmarkEnd w:id="61"/>
    </w:p>
    <w:p>
      <w:pPr>
        <w:spacing w:after="0" w:line="265" w:lineRule="auto"/>
        <w:ind w:left="10" w:right="119" w:hanging="10"/>
        <w:jc w:val="center"/>
        <w:rPr>
          <w:rFonts w:ascii="宋体" w:hAnsi="宋体" w:eastAsia="宋体" w:cs="黑体"/>
          <w:b/>
          <w:bCs/>
          <w:color w:val="auto"/>
          <w:sz w:val="28"/>
          <w:highlight w:val="none"/>
        </w:rPr>
      </w:pPr>
    </w:p>
    <w:p>
      <w:pPr>
        <w:spacing w:after="0" w:line="265" w:lineRule="auto"/>
        <w:ind w:left="10" w:right="119" w:hanging="10"/>
        <w:jc w:val="center"/>
        <w:rPr>
          <w:rFonts w:ascii="宋体" w:hAnsi="宋体" w:eastAsia="宋体"/>
          <w:b/>
          <w:bCs/>
          <w:color w:val="auto"/>
          <w:highlight w:val="none"/>
        </w:rPr>
      </w:pPr>
      <w:r>
        <w:rPr>
          <w:rFonts w:ascii="宋体" w:hAnsi="宋体" w:eastAsia="宋体" w:cs="黑体"/>
          <w:b/>
          <w:bCs/>
          <w:color w:val="auto"/>
          <w:sz w:val="28"/>
          <w:highlight w:val="none"/>
        </w:rPr>
        <w:t>目</w:t>
      </w:r>
      <w:r>
        <w:rPr>
          <w:rFonts w:ascii="宋体" w:hAnsi="宋体" w:eastAsia="宋体" w:cs="Times New Roman"/>
          <w:b/>
          <w:bCs/>
          <w:color w:val="auto"/>
          <w:sz w:val="28"/>
          <w:highlight w:val="none"/>
        </w:rPr>
        <w:t xml:space="preserve">  </w:t>
      </w:r>
      <w:r>
        <w:rPr>
          <w:rFonts w:ascii="宋体" w:hAnsi="宋体" w:eastAsia="宋体" w:cs="黑体"/>
          <w:b/>
          <w:bCs/>
          <w:color w:val="auto"/>
          <w:sz w:val="28"/>
          <w:highlight w:val="none"/>
        </w:rPr>
        <w:t>录</w:t>
      </w:r>
      <w:r>
        <w:rPr>
          <w:rFonts w:ascii="宋体" w:hAnsi="宋体" w:eastAsia="宋体" w:cs="Times New Roman"/>
          <w:b/>
          <w:bCs/>
          <w:color w:val="auto"/>
          <w:sz w:val="28"/>
          <w:highlight w:val="none"/>
        </w:rPr>
        <w:t xml:space="preserve"> </w:t>
      </w:r>
    </w:p>
    <w:p>
      <w:pPr>
        <w:spacing w:after="0"/>
        <w:rPr>
          <w:rFonts w:ascii="宋体" w:hAnsi="宋体" w:eastAsia="宋体"/>
          <w:color w:val="auto"/>
          <w:highlight w:val="none"/>
        </w:rPr>
      </w:pPr>
    </w:p>
    <w:p>
      <w:pPr>
        <w:pStyle w:val="14"/>
        <w:bidi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val="0"/>
          <w:color w:val="auto"/>
          <w:sz w:val="28"/>
          <w:szCs w:val="36"/>
          <w:highlight w:val="none"/>
          <w:u w:val="none"/>
        </w:rPr>
        <w:t xml:space="preserve">第一章 </w:t>
      </w:r>
      <w:r>
        <w:rPr>
          <w:rFonts w:hint="eastAsia" w:ascii="仿宋_GB2312" w:hAnsi="仿宋_GB2312" w:eastAsia="仿宋_GB2312" w:cs="仿宋_GB2312"/>
          <w:b w:val="0"/>
          <w:bCs w:val="0"/>
          <w:color w:val="auto"/>
          <w:sz w:val="28"/>
          <w:szCs w:val="36"/>
          <w:highlight w:val="none"/>
          <w:u w:val="none"/>
          <w:lang w:val="en-US" w:eastAsia="zh-CN"/>
        </w:rPr>
        <w:t>比选公告</w:t>
      </w:r>
      <w:r>
        <w:rPr>
          <w:rFonts w:hint="eastAsia" w:ascii="仿宋_GB2312" w:hAnsi="仿宋_GB2312" w:eastAsia="仿宋_GB2312" w:cs="仿宋_GB2312"/>
          <w:color w:val="auto"/>
          <w:sz w:val="28"/>
          <w:szCs w:val="28"/>
          <w:highlight w:val="none"/>
          <w:u w:val="none"/>
        </w:rPr>
        <w:tab/>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1</w:t>
      </w:r>
    </w:p>
    <w:p>
      <w:pPr>
        <w:pStyle w:val="14"/>
        <w:bidi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val="0"/>
          <w:color w:val="auto"/>
          <w:sz w:val="28"/>
          <w:szCs w:val="36"/>
          <w:highlight w:val="none"/>
          <w:u w:val="none"/>
        </w:rPr>
        <w:t>第二章</w:t>
      </w:r>
      <w:r>
        <w:rPr>
          <w:rFonts w:hint="eastAsia" w:ascii="仿宋_GB2312" w:hAnsi="仿宋_GB2312" w:eastAsia="仿宋_GB2312" w:cs="仿宋_GB2312"/>
          <w:b w:val="0"/>
          <w:bCs w:val="0"/>
          <w:color w:val="auto"/>
          <w:sz w:val="28"/>
          <w:szCs w:val="36"/>
          <w:highlight w:val="none"/>
          <w:u w:val="none"/>
          <w:lang w:val="en-US" w:eastAsia="zh-CN"/>
        </w:rPr>
        <w:t xml:space="preserve"> 参选人须知</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3</w:t>
      </w:r>
    </w:p>
    <w:p>
      <w:pPr>
        <w:pStyle w:val="14"/>
        <w:bidi w:val="0"/>
        <w:spacing w:line="360" w:lineRule="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color w:val="auto"/>
          <w:sz w:val="28"/>
          <w:szCs w:val="36"/>
          <w:highlight w:val="none"/>
          <w:u w:val="none"/>
        </w:rPr>
        <w:t xml:space="preserve">第三章 </w:t>
      </w:r>
      <w:r>
        <w:rPr>
          <w:rFonts w:hint="eastAsia" w:ascii="仿宋_GB2312" w:hAnsi="仿宋_GB2312" w:eastAsia="仿宋_GB2312" w:cs="仿宋_GB2312"/>
          <w:b w:val="0"/>
          <w:bCs w:val="0"/>
          <w:color w:val="auto"/>
          <w:sz w:val="28"/>
          <w:szCs w:val="36"/>
          <w:highlight w:val="none"/>
          <w:u w:val="none"/>
          <w:lang w:val="en-US" w:eastAsia="zh-CN"/>
        </w:rPr>
        <w:t>评审</w:t>
      </w:r>
      <w:r>
        <w:rPr>
          <w:rFonts w:hint="eastAsia" w:ascii="仿宋_GB2312" w:hAnsi="仿宋_GB2312" w:eastAsia="仿宋_GB2312" w:cs="仿宋_GB2312"/>
          <w:b w:val="0"/>
          <w:bCs w:val="0"/>
          <w:color w:val="auto"/>
          <w:sz w:val="28"/>
          <w:szCs w:val="36"/>
          <w:highlight w:val="none"/>
          <w:u w:val="none"/>
        </w:rPr>
        <w:t>办法</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sz w:val="28"/>
          <w:szCs w:val="28"/>
          <w:highlight w:val="none"/>
          <w:lang w:val="en-US" w:eastAsia="zh-CN"/>
        </w:rPr>
        <w:t>5</w:t>
      </w:r>
    </w:p>
    <w:p>
      <w:pPr>
        <w:pStyle w:val="14"/>
        <w:bidi w:val="0"/>
        <w:spacing w:line="360" w:lineRule="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第四章</w:t>
      </w:r>
      <w:r>
        <w:rPr>
          <w:rFonts w:hint="eastAsia" w:ascii="仿宋_GB2312" w:hAnsi="仿宋_GB2312" w:eastAsia="仿宋_GB2312" w:cs="仿宋_GB2312"/>
          <w:sz w:val="28"/>
          <w:szCs w:val="28"/>
          <w:highlight w:val="none"/>
          <w:lang w:val="en-US" w:eastAsia="zh-CN"/>
        </w:rPr>
        <w:t xml:space="preserve"> 合同条款及格式…………………………………………………8</w:t>
      </w:r>
    </w:p>
    <w:p>
      <w:pPr>
        <w:pStyle w:val="14"/>
        <w:bidi w:val="0"/>
        <w:spacing w:line="360" w:lineRule="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"_Toc128141271" </w:instrText>
      </w:r>
      <w:r>
        <w:rPr>
          <w:rFonts w:hint="eastAsia" w:ascii="仿宋_GB2312" w:hAnsi="仿宋_GB2312" w:eastAsia="仿宋_GB2312" w:cs="仿宋_GB2312"/>
          <w:sz w:val="28"/>
          <w:szCs w:val="28"/>
          <w:highlight w:val="none"/>
        </w:rPr>
        <w:fldChar w:fldCharType="separate"/>
      </w:r>
      <w:r>
        <w:rPr>
          <w:rStyle w:val="34"/>
          <w:rFonts w:hint="eastAsia" w:ascii="仿宋_GB2312" w:hAnsi="仿宋_GB2312" w:eastAsia="仿宋_GB2312" w:cs="仿宋_GB2312"/>
          <w:b w:val="0"/>
          <w:bCs w:val="0"/>
          <w:color w:val="auto"/>
          <w:sz w:val="28"/>
          <w:szCs w:val="36"/>
          <w:highlight w:val="none"/>
          <w:u w:val="none"/>
        </w:rPr>
        <w:t xml:space="preserve">第五章 </w:t>
      </w:r>
      <w:r>
        <w:rPr>
          <w:rStyle w:val="34"/>
          <w:rFonts w:hint="eastAsia" w:ascii="仿宋_GB2312" w:hAnsi="仿宋_GB2312" w:eastAsia="仿宋_GB2312" w:cs="仿宋_GB2312"/>
          <w:b w:val="0"/>
          <w:bCs w:val="0"/>
          <w:color w:val="auto"/>
          <w:sz w:val="28"/>
          <w:szCs w:val="36"/>
          <w:highlight w:val="none"/>
          <w:u w:val="none"/>
        </w:rPr>
        <w:fldChar w:fldCharType="end"/>
      </w:r>
      <w:r>
        <w:rPr>
          <w:rStyle w:val="34"/>
          <w:rFonts w:hint="eastAsia" w:ascii="仿宋_GB2312" w:hAnsi="仿宋_GB2312" w:eastAsia="仿宋_GB2312" w:cs="仿宋_GB2312"/>
          <w:b w:val="0"/>
          <w:bCs w:val="0"/>
          <w:color w:val="auto"/>
          <w:sz w:val="28"/>
          <w:szCs w:val="36"/>
          <w:highlight w:val="none"/>
          <w:u w:val="none"/>
        </w:rPr>
        <w:t>比选响应文件</w:t>
      </w:r>
      <w:r>
        <w:rPr>
          <w:rFonts w:hint="eastAsia" w:ascii="仿宋_GB2312" w:hAnsi="仿宋_GB2312" w:eastAsia="仿宋_GB2312" w:cs="仿宋_GB2312"/>
          <w:b w:val="0"/>
          <w:bCs w:val="0"/>
          <w:color w:val="auto"/>
          <w:sz w:val="28"/>
          <w:szCs w:val="36"/>
          <w:highlight w:val="none"/>
          <w:u w:val="none"/>
        </w:rPr>
        <w:t>格式</w:t>
      </w:r>
      <w:r>
        <w:rPr>
          <w:rFonts w:hint="eastAsia" w:ascii="仿宋_GB2312" w:hAnsi="仿宋_GB2312" w:eastAsia="仿宋_GB2312" w:cs="仿宋_GB2312"/>
          <w:b w:val="0"/>
          <w:bCs w:val="0"/>
          <w:color w:val="auto"/>
          <w:sz w:val="28"/>
          <w:szCs w:val="36"/>
          <w:highlight w:val="none"/>
          <w:u w:val="none"/>
          <w:lang w:eastAsia="zh-CN"/>
        </w:rPr>
        <w:t>………………………………………………</w:t>
      </w:r>
      <w:r>
        <w:rPr>
          <w:rFonts w:hint="eastAsia" w:ascii="仿宋_GB2312" w:hAnsi="仿宋_GB2312" w:eastAsia="仿宋_GB2312" w:cs="仿宋_GB2312"/>
          <w:sz w:val="28"/>
          <w:szCs w:val="28"/>
          <w:highlight w:val="none"/>
          <w:lang w:val="en-US" w:eastAsia="zh-CN"/>
        </w:rPr>
        <w:t>11</w:t>
      </w:r>
    </w:p>
    <w:p>
      <w:pPr>
        <w:pStyle w:val="14"/>
        <w:rPr>
          <w:highlight w:val="none"/>
        </w:rPr>
        <w:sectPr>
          <w:footerReference r:id="rId7" w:type="first"/>
          <w:footerReference r:id="rId5" w:type="default"/>
          <w:footerReference r:id="rId6" w:type="even"/>
          <w:pgSz w:w="12240" w:h="15840"/>
          <w:pgMar w:top="1440" w:right="1440" w:bottom="1440" w:left="1440" w:header="720" w:footer="720" w:gutter="0"/>
          <w:pgNumType w:start="1"/>
          <w:cols w:space="720" w:num="1"/>
        </w:sectPr>
      </w:pPr>
    </w:p>
    <w:p>
      <w:pPr>
        <w:pStyle w:val="4"/>
        <w:spacing w:after="0" w:line="240" w:lineRule="auto"/>
        <w:ind w:left="0" w:right="0" w:firstLine="0"/>
        <w:rPr>
          <w:rFonts w:hint="eastAsia" w:ascii="黑体" w:hAnsi="黑体" w:eastAsia="黑体" w:cs="黑体"/>
          <w:b w:val="0"/>
          <w:bCs w:val="0"/>
          <w:color w:val="auto"/>
          <w:sz w:val="28"/>
          <w:szCs w:val="21"/>
          <w:highlight w:val="none"/>
          <w:lang w:val="en-US" w:eastAsia="zh-CN"/>
        </w:rPr>
      </w:pPr>
      <w:bookmarkStart w:id="2" w:name="_Toc2910"/>
      <w:bookmarkStart w:id="3" w:name="_Toc15280"/>
      <w:bookmarkStart w:id="4" w:name="_Toc118752"/>
      <w:bookmarkStart w:id="5" w:name="_Toc114620"/>
      <w:r>
        <w:rPr>
          <w:rFonts w:hint="eastAsia" w:ascii="黑体" w:hAnsi="黑体" w:eastAsia="黑体" w:cs="黑体"/>
          <w:b w:val="0"/>
          <w:bCs w:val="0"/>
          <w:color w:val="auto"/>
          <w:sz w:val="40"/>
          <w:szCs w:val="21"/>
          <w:highlight w:val="none"/>
        </w:rPr>
        <w:t xml:space="preserve">第一章 </w:t>
      </w:r>
      <w:bookmarkEnd w:id="2"/>
      <w:bookmarkEnd w:id="3"/>
      <w:bookmarkEnd w:id="4"/>
      <w:r>
        <w:rPr>
          <w:rFonts w:hint="eastAsia" w:ascii="黑体" w:hAnsi="黑体" w:eastAsia="黑体" w:cs="黑体"/>
          <w:b w:val="0"/>
          <w:bCs w:val="0"/>
          <w:color w:val="auto"/>
          <w:sz w:val="40"/>
          <w:szCs w:val="21"/>
          <w:highlight w:val="none"/>
          <w:lang w:val="en-US" w:eastAsia="zh-CN"/>
        </w:rPr>
        <w:t>比选公告</w:t>
      </w:r>
    </w:p>
    <w:p>
      <w:pPr>
        <w:spacing w:after="0" w:line="520" w:lineRule="exact"/>
        <w:jc w:val="center"/>
        <w:rPr>
          <w:rFonts w:hint="eastAsia" w:ascii="宋体" w:hAnsi="宋体" w:eastAsia="宋体" w:cs="Times New Roman"/>
          <w:b/>
          <w:bCs/>
          <w:color w:val="auto"/>
          <w:spacing w:val="-11"/>
          <w:sz w:val="32"/>
          <w:szCs w:val="32"/>
          <w:highlight w:val="none"/>
          <w:u w:val="none" w:color="auto"/>
          <w:lang w:val="en-US" w:eastAsia="zh-CN"/>
        </w:rPr>
      </w:pPr>
    </w:p>
    <w:p>
      <w:pPr>
        <w:widowControl w:val="0"/>
        <w:spacing w:after="0" w:line="560" w:lineRule="exact"/>
        <w:ind w:firstLine="480" w:firstLineChars="200"/>
        <w:jc w:val="both"/>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一、比选条件</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r>
        <w:rPr>
          <w:rFonts w:hint="eastAsia" w:ascii="仿宋_GB2312" w:hAnsi="仿宋_GB2312" w:eastAsia="仿宋_GB2312" w:cs="仿宋_GB2312"/>
          <w:color w:val="auto"/>
          <w:kern w:val="0"/>
          <w:sz w:val="24"/>
          <w:szCs w:val="24"/>
          <w:lang w:eastAsia="zh-CN"/>
        </w:rPr>
        <w:t>四川蜀物兴川物流发展有限公司</w:t>
      </w:r>
      <w:r>
        <w:rPr>
          <w:rFonts w:hint="eastAsia" w:ascii="仿宋_GB2312" w:hAnsi="仿宋_GB2312" w:eastAsia="仿宋_GB2312" w:cs="仿宋_GB2312"/>
          <w:b/>
          <w:bCs/>
          <w:color w:val="auto"/>
          <w:kern w:val="0"/>
          <w:sz w:val="24"/>
          <w:szCs w:val="24"/>
          <w:u w:val="single"/>
          <w:lang w:val="en-US" w:eastAsia="zh-CN"/>
        </w:rPr>
        <w:t>与深圳某国企买卖合同纠纷诉讼法律服务项目</w:t>
      </w:r>
      <w:r>
        <w:rPr>
          <w:rFonts w:hint="eastAsia" w:ascii="仿宋_GB2312" w:hAnsi="仿宋_GB2312" w:eastAsia="仿宋_GB2312" w:cs="仿宋_GB2312"/>
          <w:color w:val="auto"/>
          <w:kern w:val="0"/>
          <w:sz w:val="24"/>
          <w:szCs w:val="24"/>
          <w:lang w:eastAsia="zh-CN"/>
        </w:rPr>
        <w:t>已具备</w:t>
      </w:r>
      <w:r>
        <w:rPr>
          <w:rFonts w:hint="eastAsia" w:ascii="仿宋_GB2312" w:hAnsi="仿宋_GB2312" w:eastAsia="仿宋_GB2312" w:cs="仿宋_GB2312"/>
          <w:color w:val="auto"/>
          <w:kern w:val="0"/>
          <w:sz w:val="24"/>
          <w:szCs w:val="24"/>
          <w:lang w:val="en-US" w:eastAsia="zh-CN"/>
        </w:rPr>
        <w:t>公开比选</w:t>
      </w:r>
      <w:r>
        <w:rPr>
          <w:rFonts w:hint="eastAsia" w:ascii="仿宋_GB2312" w:hAnsi="仿宋_GB2312" w:eastAsia="仿宋_GB2312" w:cs="仿宋_GB2312"/>
          <w:color w:val="auto"/>
          <w:kern w:val="0"/>
          <w:sz w:val="24"/>
          <w:szCs w:val="24"/>
          <w:lang w:eastAsia="zh-CN"/>
        </w:rPr>
        <w:t>条件</w:t>
      </w:r>
      <w:r>
        <w:rPr>
          <w:rFonts w:hint="eastAsia" w:ascii="仿宋_GB2312" w:hAnsi="仿宋_GB2312" w:eastAsia="仿宋_GB2312" w:cs="仿宋_GB2312"/>
          <w:color w:val="auto"/>
          <w:kern w:val="0"/>
          <w:sz w:val="24"/>
          <w:szCs w:val="24"/>
        </w:rPr>
        <w:t>，项目业主为</w:t>
      </w:r>
      <w:r>
        <w:rPr>
          <w:rFonts w:hint="eastAsia" w:ascii="仿宋_GB2312" w:hAnsi="仿宋_GB2312" w:eastAsia="仿宋_GB2312" w:cs="仿宋_GB2312"/>
          <w:color w:val="auto"/>
          <w:kern w:val="0"/>
          <w:sz w:val="24"/>
          <w:szCs w:val="24"/>
          <w:lang w:eastAsia="zh-CN"/>
        </w:rPr>
        <w:t>四川蜀物兴川物流发展有限公司</w:t>
      </w:r>
      <w:r>
        <w:rPr>
          <w:rFonts w:hint="eastAsia" w:ascii="仿宋_GB2312" w:hAnsi="仿宋_GB2312" w:eastAsia="仿宋_GB2312" w:cs="仿宋_GB2312"/>
          <w:color w:val="auto"/>
          <w:kern w:val="0"/>
          <w:sz w:val="24"/>
          <w:szCs w:val="24"/>
        </w:rPr>
        <w:t>，资金来自自筹资金，出资比例为100%，</w:t>
      </w:r>
      <w:r>
        <w:rPr>
          <w:rFonts w:hint="eastAsia" w:ascii="仿宋_GB2312" w:hAnsi="仿宋_GB2312" w:eastAsia="仿宋_GB2312" w:cs="仿宋_GB2312"/>
          <w:color w:val="auto"/>
          <w:kern w:val="0"/>
          <w:sz w:val="24"/>
          <w:szCs w:val="24"/>
          <w:lang w:val="en-US" w:eastAsia="zh-CN"/>
        </w:rPr>
        <w:t>比选人</w:t>
      </w:r>
      <w:r>
        <w:rPr>
          <w:rFonts w:hint="eastAsia" w:ascii="仿宋_GB2312" w:hAnsi="仿宋_GB2312" w:eastAsia="仿宋_GB2312" w:cs="仿宋_GB2312"/>
          <w:color w:val="auto"/>
          <w:kern w:val="0"/>
          <w:sz w:val="24"/>
          <w:szCs w:val="24"/>
        </w:rPr>
        <w:t>为</w:t>
      </w:r>
      <w:r>
        <w:rPr>
          <w:rFonts w:hint="eastAsia" w:ascii="仿宋_GB2312" w:hAnsi="仿宋_GB2312" w:eastAsia="仿宋_GB2312" w:cs="仿宋_GB2312"/>
          <w:color w:val="auto"/>
          <w:kern w:val="0"/>
          <w:sz w:val="24"/>
          <w:szCs w:val="24"/>
          <w:lang w:eastAsia="zh-CN"/>
        </w:rPr>
        <w:t>四川蜀物兴川物流发展有限公司</w:t>
      </w:r>
      <w:r>
        <w:rPr>
          <w:rFonts w:hint="eastAsia" w:ascii="仿宋_GB2312" w:hAnsi="仿宋_GB2312" w:eastAsia="仿宋_GB2312" w:cs="仿宋_GB2312"/>
          <w:color w:val="auto"/>
          <w:kern w:val="0"/>
          <w:sz w:val="24"/>
          <w:szCs w:val="24"/>
        </w:rPr>
        <w:t>，现对该项目进行</w:t>
      </w:r>
      <w:r>
        <w:rPr>
          <w:rFonts w:hint="eastAsia" w:ascii="仿宋_GB2312" w:hAnsi="仿宋_GB2312" w:eastAsia="仿宋_GB2312" w:cs="仿宋_GB2312"/>
          <w:color w:val="auto"/>
          <w:kern w:val="0"/>
          <w:sz w:val="24"/>
          <w:szCs w:val="24"/>
          <w:lang w:val="en-US" w:eastAsia="zh-CN"/>
        </w:rPr>
        <w:t>公开比选</w:t>
      </w:r>
      <w:r>
        <w:rPr>
          <w:rFonts w:hint="eastAsia" w:ascii="仿宋_GB2312" w:hAnsi="仿宋_GB2312" w:eastAsia="仿宋_GB2312" w:cs="仿宋_GB2312"/>
          <w:color w:val="auto"/>
          <w:kern w:val="0"/>
          <w:sz w:val="24"/>
          <w:szCs w:val="24"/>
        </w:rPr>
        <w:t>。</w:t>
      </w:r>
    </w:p>
    <w:p>
      <w:pPr>
        <w:widowControl w:val="0"/>
        <w:spacing w:after="0" w:line="560" w:lineRule="exact"/>
        <w:ind w:firstLine="480" w:firstLineChars="200"/>
        <w:jc w:val="both"/>
        <w:rPr>
          <w:rFonts w:hint="eastAsia" w:ascii="黑体" w:hAnsi="黑体" w:eastAsia="黑体" w:cs="黑体"/>
          <w:color w:val="auto"/>
          <w:kern w:val="0"/>
          <w:sz w:val="24"/>
          <w:szCs w:val="24"/>
          <w:lang w:val="en-US" w:eastAsia="zh-CN"/>
        </w:rPr>
      </w:pPr>
      <w:bookmarkStart w:id="6" w:name="_Toc118754"/>
      <w:bookmarkStart w:id="7" w:name="_Toc128141189"/>
      <w:bookmarkStart w:id="8" w:name="_Toc28409"/>
      <w:bookmarkStart w:id="9" w:name="_Toc18180"/>
      <w:r>
        <w:rPr>
          <w:rFonts w:hint="eastAsia" w:ascii="黑体" w:hAnsi="黑体" w:eastAsia="黑体" w:cs="黑体"/>
          <w:color w:val="auto"/>
          <w:kern w:val="0"/>
          <w:sz w:val="24"/>
          <w:szCs w:val="24"/>
          <w:lang w:val="en-US" w:eastAsia="zh-CN"/>
        </w:rPr>
        <w:t>二、项目概况</w:t>
      </w:r>
      <w:bookmarkEnd w:id="6"/>
      <w:bookmarkEnd w:id="7"/>
      <w:bookmarkEnd w:id="8"/>
      <w:bookmarkEnd w:id="9"/>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2.1</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项目</w:t>
      </w:r>
      <w:r>
        <w:rPr>
          <w:rFonts w:hint="eastAsia" w:ascii="仿宋_GB2312" w:hAnsi="仿宋_GB2312" w:eastAsia="仿宋_GB2312" w:cs="仿宋_GB2312"/>
          <w:color w:val="auto"/>
          <w:kern w:val="0"/>
          <w:sz w:val="24"/>
          <w:szCs w:val="24"/>
          <w:lang w:val="en-US" w:eastAsia="zh-CN"/>
        </w:rPr>
        <w:t>名称：</w:t>
      </w:r>
      <w:r>
        <w:rPr>
          <w:rFonts w:hint="eastAsia" w:ascii="仿宋_GB2312" w:hAnsi="仿宋_GB2312" w:eastAsia="仿宋_GB2312" w:cs="仿宋_GB2312"/>
          <w:color w:val="auto"/>
          <w:kern w:val="0"/>
          <w:sz w:val="24"/>
          <w:szCs w:val="24"/>
          <w:lang w:eastAsia="zh-CN"/>
        </w:rPr>
        <w:t>四川蜀物兴川物流发展有限公司与深圳某国企买卖合同纠纷诉讼法律服务项目。</w:t>
      </w:r>
    </w:p>
    <w:p>
      <w:pPr>
        <w:widowControl w:val="0"/>
        <w:spacing w:after="0" w:line="560" w:lineRule="exact"/>
        <w:ind w:firstLine="480" w:firstLineChars="200"/>
        <w:jc w:val="both"/>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2.1.2 最高限价：16万元，其中基础代理费不高于8万元，风险代理费不超过8万元;</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2.1.3案由：买卖合同纠纷;</w:t>
      </w:r>
    </w:p>
    <w:p>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 xml:space="preserve">2.1.4 被告：深圳市某国企。 </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2.1.5诉讼标的：约1000万元（涉诉金额可能变化，以实际为准）;</w:t>
      </w:r>
    </w:p>
    <w:p>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2.1.6管辖地：深圳市;</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2.1.7代理阶段：一、二审、再审（若有）、反诉（若有）、执行;</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2.2服务期限：自代理合同签订之日起至</w:t>
      </w:r>
      <w:r>
        <w:rPr>
          <w:rFonts w:hint="eastAsia" w:ascii="仿宋_GB2312" w:hAnsi="仿宋_GB2312" w:eastAsia="仿宋_GB2312" w:cs="仿宋_GB2312"/>
          <w:color w:val="auto"/>
          <w:kern w:val="0"/>
          <w:sz w:val="24"/>
          <w:szCs w:val="24"/>
          <w:lang w:val="en-US" w:eastAsia="zh-CN"/>
        </w:rPr>
        <w:t>执行完毕</w:t>
      </w:r>
      <w:r>
        <w:rPr>
          <w:rFonts w:hint="eastAsia" w:ascii="仿宋_GB2312" w:hAnsi="仿宋_GB2312" w:eastAsia="仿宋_GB2312" w:cs="仿宋_GB2312"/>
          <w:color w:val="auto"/>
          <w:kern w:val="0"/>
          <w:sz w:val="24"/>
          <w:szCs w:val="24"/>
        </w:rPr>
        <w:t>为止</w:t>
      </w:r>
      <w:r>
        <w:rPr>
          <w:rFonts w:hint="eastAsia" w:ascii="仿宋_GB2312" w:hAnsi="仿宋_GB2312" w:eastAsia="仿宋_GB2312" w:cs="仿宋_GB2312"/>
          <w:color w:val="auto"/>
          <w:kern w:val="0"/>
          <w:sz w:val="24"/>
          <w:szCs w:val="24"/>
          <w:lang w:val="en-US" w:eastAsia="zh-CN"/>
        </w:rPr>
        <w:t>;</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2.3服务内容：</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（1）全面分析案情，对相关事实与法律问题进行深入分析与研究；</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（2）梳理案件的证据资料，制定诉讼方案和策略；</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（3）准备草拟答辩状、代理词、证据清单等法律文书；</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（4）代理与本案相关的一审、二审、再审（若有）案件庭审（含反诉）；</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（5）向法院递交相应的文书和资料、领取法院的相关法律文书；</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（6）受询价人委托参加可能发生的诉讼程序、谈判、和解、调解活动，就调解、和解方案提出意见，并出具书面的法律意见书；</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（7）提起上诉，拟定上诉状，参加应诉工作；</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（8）在重要节点，以工作报告形式及时通报委托事项办理进展，征求意见；</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（9）代理案件执行工作；</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（10）其他与案件相关的法律事务。       </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2.4质量标准：满足行业及</w:t>
      </w:r>
      <w:r>
        <w:rPr>
          <w:rFonts w:hint="eastAsia" w:ascii="仿宋_GB2312" w:hAnsi="仿宋_GB2312" w:eastAsia="仿宋_GB2312" w:cs="仿宋_GB2312"/>
          <w:color w:val="auto"/>
          <w:kern w:val="0"/>
          <w:sz w:val="24"/>
          <w:szCs w:val="24"/>
          <w:lang w:val="en-US" w:eastAsia="zh-CN"/>
        </w:rPr>
        <w:t>比选人</w:t>
      </w:r>
      <w:r>
        <w:rPr>
          <w:rFonts w:hint="eastAsia" w:ascii="仿宋_GB2312" w:hAnsi="仿宋_GB2312" w:eastAsia="仿宋_GB2312" w:cs="仿宋_GB2312"/>
          <w:color w:val="auto"/>
          <w:kern w:val="0"/>
          <w:sz w:val="24"/>
          <w:szCs w:val="24"/>
        </w:rPr>
        <w:t>要求</w:t>
      </w:r>
      <w:r>
        <w:rPr>
          <w:rFonts w:hint="eastAsia" w:ascii="仿宋_GB2312" w:hAnsi="仿宋_GB2312" w:eastAsia="仿宋_GB2312" w:cs="仿宋_GB2312"/>
          <w:color w:val="auto"/>
          <w:kern w:val="0"/>
          <w:sz w:val="24"/>
          <w:szCs w:val="24"/>
          <w:lang w:val="en-US" w:eastAsia="zh-CN"/>
        </w:rPr>
        <w:t>;</w:t>
      </w:r>
    </w:p>
    <w:p>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bookmarkStart w:id="10" w:name="_Toc118755"/>
      <w:bookmarkStart w:id="11" w:name="_Toc128141190"/>
      <w:bookmarkStart w:id="12" w:name="_Toc8468"/>
      <w:bookmarkStart w:id="13" w:name="_Toc30467"/>
      <w:r>
        <w:rPr>
          <w:rFonts w:hint="eastAsia" w:ascii="仿宋_GB2312" w:hAnsi="仿宋_GB2312" w:eastAsia="仿宋_GB2312" w:cs="仿宋_GB2312"/>
          <w:color w:val="auto"/>
          <w:kern w:val="0"/>
          <w:sz w:val="24"/>
          <w:szCs w:val="24"/>
          <w:lang w:val="en-US" w:eastAsia="zh-CN"/>
        </w:rPr>
        <w:t xml:space="preserve">2.5项目概述：2021年4月22日，比选人与深圳某国企签订采购协议，双方约定由比选人为其提供生产经营性物料及相关服务，后比选人依约提供了相应物料，双方对部分物料进行了结算，开票结算金额为约700万元，对方支付了货款约600万元，后经核实确认，对方在采购协议项下仍有货款约1000万元（含税）的货物未进行提货，亦未支付货款。 </w:t>
      </w:r>
    </w:p>
    <w:p>
      <w:pPr>
        <w:widowControl w:val="0"/>
        <w:spacing w:after="0" w:line="560" w:lineRule="exact"/>
        <w:ind w:firstLine="480" w:firstLineChars="200"/>
        <w:jc w:val="both"/>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三、参选人资格要求</w:t>
      </w:r>
      <w:bookmarkEnd w:id="10"/>
      <w:bookmarkEnd w:id="11"/>
      <w:bookmarkEnd w:id="12"/>
      <w:bookmarkEnd w:id="13"/>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3.1 资质要求：参选人须在中华人民共和国境内注册，具有独立承担民事责任的能力，具有司法行政主管部门颁发的《律师事务所执业许可证》，合法存续且年度年检合格。</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3.2 参选人须具有良好的商业信誉，在“信用中国”网站上查询无严重违反失信、经营异常，没有处于参选禁入期内，参加本次比选活动前三年内，在经营活动中没有重大违法记录。</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3.3律所及团队成员无刑事犯罪记录，近3年内未受过纪律处分、行政处罚或行业处分。</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3.4参选人须具有与本比选项目相应的法律服务能力，参选人需指派三名熟悉买卖合同纠纷案件的专职律师承办本案，其中项目负责人律师执业年限在3年（含）以上。</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 xml:space="preserve">3.5本次比选不接受联合体参选。 </w:t>
      </w:r>
    </w:p>
    <w:p>
      <w:pPr>
        <w:widowControl w:val="0"/>
        <w:spacing w:after="0" w:line="560" w:lineRule="exact"/>
        <w:ind w:firstLine="480" w:firstLineChars="200"/>
        <w:jc w:val="both"/>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 xml:space="preserve">四、比选文件的获取 </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highlight w:val="none"/>
          <w:lang w:val="en-US" w:eastAsia="zh-CN"/>
        </w:rPr>
      </w:pPr>
      <w:bookmarkStart w:id="14" w:name="_Toc13658"/>
      <w:bookmarkStart w:id="15" w:name="_Toc118756"/>
      <w:bookmarkStart w:id="16" w:name="_Toc128141191"/>
      <w:bookmarkStart w:id="17" w:name="_Toc15490"/>
      <w:r>
        <w:rPr>
          <w:rFonts w:hint="eastAsia" w:ascii="仿宋_GB2312" w:hAnsi="仿宋_GB2312" w:eastAsia="仿宋_GB2312" w:cs="仿宋_GB2312"/>
          <w:color w:val="auto"/>
          <w:kern w:val="0"/>
          <w:sz w:val="24"/>
          <w:szCs w:val="24"/>
          <w:lang w:val="en-US" w:eastAsia="zh-CN"/>
        </w:rPr>
        <w:t>1.获取比选文件时间：</w:t>
      </w:r>
      <w:r>
        <w:rPr>
          <w:rFonts w:hint="eastAsia" w:ascii="仿宋_GB2312" w:hAnsi="仿宋_GB2312" w:eastAsia="仿宋_GB2312" w:cs="仿宋_GB2312"/>
          <w:color w:val="auto"/>
          <w:kern w:val="0"/>
          <w:sz w:val="24"/>
          <w:szCs w:val="24"/>
          <w:highlight w:val="none"/>
          <w:lang w:val="en-US" w:eastAsia="zh-CN"/>
        </w:rPr>
        <w:t>自2025年7月4日至2025年7月11日上午10:30前。</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2.比选文件获取方式：本次比选公告在四川蜀道物流集团有限公司网站（https://www.shudaowl.com/xwzx/jtyw/index.shtml）发布。参选人通过指定网站自行下载。</w:t>
      </w:r>
    </w:p>
    <w:p>
      <w:pPr>
        <w:widowControl w:val="0"/>
        <w:spacing w:after="0" w:line="560" w:lineRule="exact"/>
        <w:ind w:firstLine="480" w:firstLineChars="200"/>
        <w:jc w:val="both"/>
        <w:rPr>
          <w:rFonts w:hint="eastAsia" w:ascii="黑体" w:hAnsi="黑体" w:eastAsia="黑体" w:cs="黑体"/>
          <w:color w:val="auto"/>
          <w:kern w:val="0"/>
          <w:sz w:val="24"/>
          <w:szCs w:val="24"/>
          <w:highlight w:val="none"/>
          <w:lang w:val="en-US" w:eastAsia="zh-CN"/>
        </w:rPr>
      </w:pPr>
      <w:bookmarkStart w:id="18" w:name="_Toc6668"/>
      <w:bookmarkStart w:id="19" w:name="_Toc10949"/>
      <w:bookmarkStart w:id="20" w:name="_Toc17101"/>
      <w:r>
        <w:rPr>
          <w:rFonts w:hint="eastAsia" w:ascii="黑体" w:hAnsi="黑体" w:eastAsia="黑体" w:cs="黑体"/>
          <w:color w:val="auto"/>
          <w:kern w:val="0"/>
          <w:sz w:val="24"/>
          <w:szCs w:val="24"/>
          <w:highlight w:val="none"/>
          <w:lang w:val="en-US" w:eastAsia="zh-CN"/>
        </w:rPr>
        <w:t>五、比选申请书的递交</w:t>
      </w:r>
      <w:bookmarkEnd w:id="18"/>
      <w:bookmarkEnd w:id="19"/>
      <w:bookmarkEnd w:id="20"/>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 xml:space="preserve">5.1 比选响应文件递交的截止时间（比选截止时间，下同）为2025年7月11日上午10时30分，地点为成都市青羊区光华北五路266号青羊总部经济基地2栋A座11楼。 </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 xml:space="preserve">5.2 逾期送达的、未送达指定地点的或者不按照比选文件要求密封的比选响应文件，比选人将予以拒收。 </w:t>
      </w:r>
      <w:bookmarkEnd w:id="14"/>
      <w:bookmarkEnd w:id="15"/>
      <w:bookmarkEnd w:id="16"/>
      <w:bookmarkEnd w:id="17"/>
    </w:p>
    <w:p>
      <w:pPr>
        <w:widowControl w:val="0"/>
        <w:spacing w:after="0" w:line="560" w:lineRule="exact"/>
        <w:ind w:firstLine="480" w:firstLineChars="200"/>
        <w:jc w:val="both"/>
        <w:rPr>
          <w:rFonts w:hint="eastAsia" w:ascii="黑体" w:hAnsi="黑体" w:eastAsia="黑体" w:cs="黑体"/>
          <w:color w:val="auto"/>
          <w:kern w:val="0"/>
          <w:sz w:val="24"/>
          <w:szCs w:val="24"/>
          <w:highlight w:val="none"/>
          <w:lang w:val="en-US" w:eastAsia="zh-CN"/>
        </w:rPr>
      </w:pPr>
      <w:bookmarkStart w:id="21" w:name="_Toc3060"/>
      <w:bookmarkStart w:id="22" w:name="_Toc11556"/>
      <w:bookmarkStart w:id="23" w:name="_Toc44"/>
      <w:r>
        <w:rPr>
          <w:rFonts w:hint="eastAsia" w:ascii="黑体" w:hAnsi="黑体" w:eastAsia="黑体" w:cs="黑体"/>
          <w:color w:val="auto"/>
          <w:kern w:val="0"/>
          <w:sz w:val="24"/>
          <w:szCs w:val="24"/>
          <w:highlight w:val="none"/>
          <w:lang w:val="en-US" w:eastAsia="zh-CN"/>
        </w:rPr>
        <w:t>六、比选结果</w:t>
      </w:r>
      <w:bookmarkEnd w:id="21"/>
      <w:bookmarkEnd w:id="22"/>
      <w:bookmarkEnd w:id="23"/>
      <w:r>
        <w:rPr>
          <w:rFonts w:hint="eastAsia" w:ascii="黑体" w:hAnsi="黑体" w:eastAsia="黑体" w:cs="黑体"/>
          <w:color w:val="auto"/>
          <w:kern w:val="0"/>
          <w:sz w:val="24"/>
          <w:szCs w:val="24"/>
          <w:highlight w:val="none"/>
          <w:lang w:val="en-US" w:eastAsia="zh-CN"/>
        </w:rPr>
        <w:t>公示</w:t>
      </w:r>
    </w:p>
    <w:p>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人在收到评审报告之日起7日内，将比选结果在四川蜀道物流集团有限公司网站（https://www.shudaowl.com/xwzx/jtyw/index.shtml）上进行公示，以接受社会公开监督。比选申请人或者其他利害关系人对评审结果有异议的，应当在公示期间提出。</w:t>
      </w:r>
    </w:p>
    <w:p>
      <w:pPr>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br w:type="page"/>
      </w:r>
    </w:p>
    <w:p>
      <w:pPr>
        <w:widowControl w:val="0"/>
        <w:spacing w:after="0" w:line="560" w:lineRule="exact"/>
        <w:ind w:firstLine="480" w:firstLineChars="200"/>
        <w:jc w:val="both"/>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 xml:space="preserve">七、联系方式 </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比选人：四川蜀物兴川物流发展有限公司</w:t>
      </w:r>
    </w:p>
    <w:p>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地址：成都市青羊区光华北五路266号青羊总部经济基地2栋A座11层</w:t>
      </w:r>
    </w:p>
    <w:p>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联系人：高老师</w:t>
      </w:r>
    </w:p>
    <w:p>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联系电话：18883114065</w:t>
      </w:r>
    </w:p>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p>
    <w:p>
      <w:pPr>
        <w:widowControl w:val="0"/>
        <w:spacing w:after="0" w:line="560" w:lineRule="exact"/>
        <w:ind w:firstLine="480" w:firstLineChars="200"/>
        <w:jc w:val="right"/>
        <w:rPr>
          <w:rFonts w:hint="eastAsia" w:ascii="仿宋_GB2312" w:hAnsi="仿宋_GB2312" w:eastAsia="仿宋_GB2312" w:cs="仿宋_GB2312"/>
          <w:color w:val="auto"/>
          <w:kern w:val="0"/>
          <w:sz w:val="24"/>
          <w:szCs w:val="24"/>
          <w:lang w:val="en-US" w:eastAsia="zh-CN"/>
        </w:rPr>
        <w:sectPr>
          <w:footerReference r:id="rId8" w:type="default"/>
          <w:pgSz w:w="12240" w:h="15840"/>
          <w:pgMar w:top="1440" w:right="1440" w:bottom="1440" w:left="1440" w:header="720" w:footer="720" w:gutter="0"/>
          <w:pgNumType w:start="1"/>
          <w:cols w:space="720" w:num="1"/>
        </w:sectPr>
      </w:pPr>
      <w:r>
        <w:rPr>
          <w:rFonts w:hint="eastAsia" w:ascii="仿宋_GB2312" w:hAnsi="仿宋_GB2312" w:eastAsia="仿宋_GB2312" w:cs="仿宋_GB2312"/>
          <w:color w:val="auto"/>
          <w:kern w:val="0"/>
          <w:sz w:val="24"/>
          <w:szCs w:val="24"/>
          <w:lang w:val="en-US" w:eastAsia="zh-CN"/>
        </w:rPr>
        <w:t>2025年</w:t>
      </w:r>
      <w:bookmarkEnd w:id="5"/>
      <w:r>
        <w:rPr>
          <w:rFonts w:hint="eastAsia" w:ascii="仿宋_GB2312" w:hAnsi="仿宋_GB2312" w:eastAsia="仿宋_GB2312" w:cs="仿宋_GB2312"/>
          <w:color w:val="auto"/>
          <w:kern w:val="0"/>
          <w:sz w:val="24"/>
          <w:szCs w:val="24"/>
          <w:lang w:val="en-US" w:eastAsia="zh-CN"/>
        </w:rPr>
        <w:t>7月3日</w:t>
      </w:r>
    </w:p>
    <w:p>
      <w:pPr>
        <w:pStyle w:val="4"/>
        <w:spacing w:after="0" w:line="240" w:lineRule="auto"/>
        <w:ind w:left="0" w:right="0" w:firstLine="0"/>
        <w:rPr>
          <w:rFonts w:hint="eastAsia" w:ascii="宋体" w:hAnsi="宋体" w:eastAsia="宋体" w:cs="宋体"/>
          <w:b/>
          <w:bCs/>
          <w:color w:val="auto"/>
          <w:sz w:val="40"/>
          <w:szCs w:val="21"/>
          <w:highlight w:val="none"/>
          <w:lang w:val="en-US" w:eastAsia="zh-CN"/>
        </w:rPr>
      </w:pPr>
      <w:bookmarkStart w:id="24" w:name="_Toc3979"/>
      <w:bookmarkStart w:id="25" w:name="_Toc8776"/>
      <w:r>
        <w:rPr>
          <w:rFonts w:ascii="宋体" w:hAnsi="宋体" w:eastAsia="宋体" w:cs="宋体"/>
          <w:b/>
          <w:bCs/>
          <w:color w:val="auto"/>
          <w:sz w:val="40"/>
          <w:szCs w:val="21"/>
          <w:highlight w:val="none"/>
        </w:rPr>
        <w:t>第二章</w:t>
      </w:r>
      <w:r>
        <w:rPr>
          <w:rFonts w:hint="eastAsia" w:ascii="宋体" w:hAnsi="宋体" w:eastAsia="宋体" w:cs="宋体"/>
          <w:b/>
          <w:bCs/>
          <w:color w:val="auto"/>
          <w:sz w:val="40"/>
          <w:szCs w:val="21"/>
          <w:highlight w:val="none"/>
        </w:rPr>
        <w:t xml:space="preserve"> </w:t>
      </w:r>
      <w:bookmarkEnd w:id="24"/>
      <w:bookmarkEnd w:id="25"/>
      <w:r>
        <w:rPr>
          <w:rFonts w:hint="eastAsia" w:ascii="宋体" w:hAnsi="宋体" w:eastAsia="宋体" w:cs="宋体"/>
          <w:b/>
          <w:bCs/>
          <w:color w:val="auto"/>
          <w:sz w:val="40"/>
          <w:szCs w:val="21"/>
          <w:highlight w:val="none"/>
          <w:lang w:val="en-US" w:eastAsia="zh-CN"/>
        </w:rPr>
        <w:t>参选人须知</w:t>
      </w:r>
    </w:p>
    <w:p>
      <w:pPr>
        <w:rPr>
          <w:rFonts w:hint="default"/>
          <w:lang w:val="en-US" w:eastAsia="zh-CN"/>
        </w:rPr>
      </w:pPr>
    </w:p>
    <w:tbl>
      <w:tblPr>
        <w:tblStyle w:val="44"/>
        <w:tblW w:w="5425" w:type="pct"/>
        <w:jc w:val="center"/>
        <w:tblLayout w:type="autofit"/>
        <w:tblCellMar>
          <w:top w:w="0" w:type="dxa"/>
          <w:left w:w="108" w:type="dxa"/>
          <w:bottom w:w="22" w:type="dxa"/>
          <w:right w:w="115" w:type="dxa"/>
        </w:tblCellMar>
      </w:tblPr>
      <w:tblGrid>
        <w:gridCol w:w="1044"/>
        <w:gridCol w:w="3301"/>
        <w:gridCol w:w="6053"/>
      </w:tblGrid>
      <w:tr>
        <w:tblPrEx>
          <w:tblCellMar>
            <w:top w:w="0" w:type="dxa"/>
            <w:left w:w="108" w:type="dxa"/>
            <w:bottom w:w="22" w:type="dxa"/>
            <w:right w:w="115" w:type="dxa"/>
          </w:tblCellMar>
        </w:tblPrEx>
        <w:trPr>
          <w:trHeight w:val="540" w:hRule="atLeast"/>
          <w:tblHeader/>
          <w:jc w:val="center"/>
        </w:trPr>
        <w:tc>
          <w:tcPr>
            <w:tcW w:w="502"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center"/>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序号</w:t>
            </w:r>
          </w:p>
        </w:tc>
        <w:tc>
          <w:tcPr>
            <w:tcW w:w="1587"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center"/>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条款名称</w:t>
            </w:r>
          </w:p>
        </w:tc>
        <w:tc>
          <w:tcPr>
            <w:tcW w:w="2910"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center"/>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编列内容</w:t>
            </w:r>
          </w:p>
        </w:tc>
      </w:tr>
      <w:tr>
        <w:tblPrEx>
          <w:tblCellMar>
            <w:top w:w="0" w:type="dxa"/>
            <w:left w:w="108" w:type="dxa"/>
            <w:bottom w:w="22" w:type="dxa"/>
            <w:right w:w="115" w:type="dxa"/>
          </w:tblCellMar>
        </w:tblPrEx>
        <w:trPr>
          <w:trHeight w:val="1258"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c>
          <w:tcPr>
            <w:tcW w:w="1587"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比选人</w:t>
            </w:r>
          </w:p>
        </w:tc>
        <w:tc>
          <w:tcPr>
            <w:tcW w:w="2910"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名称：四川蜀物兴川物流发展有限公司</w:t>
            </w:r>
          </w:p>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地址：成都市青羊区光华北五路266号青羊总部经济基地2栋A座11楼</w:t>
            </w:r>
          </w:p>
          <w:p>
            <w:pPr>
              <w:widowControl w:val="0"/>
              <w:spacing w:after="0" w:line="560" w:lineRule="exact"/>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联系人：高老师，电话：18883114065</w:t>
            </w:r>
          </w:p>
        </w:tc>
      </w:tr>
      <w:tr>
        <w:tblPrEx>
          <w:tblCellMar>
            <w:top w:w="0" w:type="dxa"/>
            <w:left w:w="108" w:type="dxa"/>
            <w:bottom w:w="22" w:type="dxa"/>
            <w:right w:w="115" w:type="dxa"/>
          </w:tblCellMar>
        </w:tblPrEx>
        <w:trPr>
          <w:trHeight w:val="6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p>
        </w:tc>
        <w:tc>
          <w:tcPr>
            <w:tcW w:w="1587"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项目名称</w:t>
            </w:r>
          </w:p>
        </w:tc>
        <w:tc>
          <w:tcPr>
            <w:tcW w:w="2910"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sz w:val="24"/>
                <w:szCs w:val="24"/>
              </w:rPr>
              <w:t>四川蜀物兴川物流发展有限公司</w:t>
            </w:r>
            <w:r>
              <w:rPr>
                <w:rFonts w:hint="eastAsia" w:ascii="仿宋_GB2312" w:hAnsi="仿宋_GB2312" w:eastAsia="仿宋_GB2312" w:cs="仿宋_GB2312"/>
                <w:color w:val="auto"/>
                <w:sz w:val="24"/>
                <w:szCs w:val="24"/>
                <w:lang w:val="en-US" w:eastAsia="zh-CN"/>
              </w:rPr>
              <w:t>与深圳某国企买卖合同纠纷</w:t>
            </w:r>
            <w:r>
              <w:rPr>
                <w:rFonts w:hint="eastAsia" w:ascii="仿宋_GB2312" w:hAnsi="仿宋_GB2312" w:eastAsia="仿宋_GB2312" w:cs="仿宋_GB2312"/>
                <w:color w:val="auto"/>
                <w:sz w:val="24"/>
                <w:szCs w:val="24"/>
              </w:rPr>
              <w:t>诉讼法律服务项目</w:t>
            </w:r>
          </w:p>
        </w:tc>
      </w:tr>
      <w:tr>
        <w:tblPrEx>
          <w:tblCellMar>
            <w:top w:w="0" w:type="dxa"/>
            <w:left w:w="108" w:type="dxa"/>
            <w:bottom w:w="22" w:type="dxa"/>
            <w:right w:w="115" w:type="dxa"/>
          </w:tblCellMar>
        </w:tblPrEx>
        <w:trPr>
          <w:trHeight w:val="409"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w:t>
            </w:r>
          </w:p>
        </w:tc>
        <w:tc>
          <w:tcPr>
            <w:tcW w:w="1587"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管辖地点</w:t>
            </w:r>
          </w:p>
        </w:tc>
        <w:tc>
          <w:tcPr>
            <w:tcW w:w="2910"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left"/>
              <w:rPr>
                <w:rFonts w:hint="default"/>
                <w:lang w:val="en-US" w:eastAsia="zh-CN"/>
              </w:rPr>
            </w:pPr>
            <w:r>
              <w:rPr>
                <w:rFonts w:hint="eastAsia" w:ascii="仿宋_GB2312" w:hAnsi="仿宋_GB2312" w:eastAsia="仿宋_GB2312" w:cs="仿宋_GB2312"/>
                <w:color w:val="auto"/>
                <w:kern w:val="0"/>
                <w:sz w:val="24"/>
                <w:szCs w:val="24"/>
                <w:lang w:val="en-US" w:eastAsia="zh-CN"/>
              </w:rPr>
              <w:t>深圳市</w:t>
            </w:r>
          </w:p>
        </w:tc>
      </w:tr>
      <w:tr>
        <w:tblPrEx>
          <w:tblCellMar>
            <w:top w:w="0" w:type="dxa"/>
            <w:left w:w="108" w:type="dxa"/>
            <w:bottom w:w="22" w:type="dxa"/>
            <w:right w:w="115" w:type="dxa"/>
          </w:tblCellMar>
        </w:tblPrEx>
        <w:trPr>
          <w:trHeight w:val="753"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w:t>
            </w:r>
          </w:p>
        </w:tc>
        <w:tc>
          <w:tcPr>
            <w:tcW w:w="1587"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项目概况</w:t>
            </w:r>
          </w:p>
        </w:tc>
        <w:tc>
          <w:tcPr>
            <w:tcW w:w="2910"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案由：买卖合同纠纷;</w:t>
            </w:r>
          </w:p>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被告：深圳市某国企;</w:t>
            </w:r>
          </w:p>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标的：约1000万元（涉诉金额可能变化，以实际为准）</w:t>
            </w:r>
          </w:p>
        </w:tc>
      </w:tr>
      <w:tr>
        <w:tblPrEx>
          <w:tblCellMar>
            <w:top w:w="0" w:type="dxa"/>
            <w:left w:w="108" w:type="dxa"/>
            <w:bottom w:w="22" w:type="dxa"/>
            <w:right w:w="115" w:type="dxa"/>
          </w:tblCellMar>
        </w:tblPrEx>
        <w:trPr>
          <w:trHeight w:val="351"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p>
        </w:tc>
        <w:tc>
          <w:tcPr>
            <w:tcW w:w="1587"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资金来源及比例</w:t>
            </w:r>
          </w:p>
        </w:tc>
        <w:tc>
          <w:tcPr>
            <w:tcW w:w="2910"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业主自筹100%</w:t>
            </w:r>
          </w:p>
        </w:tc>
      </w:tr>
      <w:tr>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w:t>
            </w:r>
          </w:p>
        </w:tc>
        <w:tc>
          <w:tcPr>
            <w:tcW w:w="1587"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资金落实情况</w:t>
            </w:r>
          </w:p>
        </w:tc>
        <w:tc>
          <w:tcPr>
            <w:tcW w:w="2910"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已落实</w:t>
            </w:r>
          </w:p>
        </w:tc>
      </w:tr>
      <w:tr>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p>
        </w:tc>
        <w:tc>
          <w:tcPr>
            <w:tcW w:w="1587"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服务内容</w:t>
            </w:r>
          </w:p>
        </w:tc>
        <w:tc>
          <w:tcPr>
            <w:tcW w:w="2910"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详见比选公告</w:t>
            </w:r>
          </w:p>
        </w:tc>
      </w:tr>
      <w:tr>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8</w:t>
            </w:r>
          </w:p>
        </w:tc>
        <w:tc>
          <w:tcPr>
            <w:tcW w:w="1587"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服务期限</w:t>
            </w:r>
          </w:p>
        </w:tc>
        <w:tc>
          <w:tcPr>
            <w:tcW w:w="2910"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自代理合同签订之日起至执行完毕为止。</w:t>
            </w:r>
          </w:p>
        </w:tc>
      </w:tr>
      <w:tr>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9</w:t>
            </w:r>
          </w:p>
        </w:tc>
        <w:tc>
          <w:tcPr>
            <w:tcW w:w="1587"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质量标准</w:t>
            </w:r>
          </w:p>
        </w:tc>
        <w:tc>
          <w:tcPr>
            <w:tcW w:w="2910"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满足行业标准及比选人要求</w:t>
            </w:r>
          </w:p>
        </w:tc>
      </w:tr>
      <w:tr>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w:t>
            </w:r>
          </w:p>
        </w:tc>
        <w:tc>
          <w:tcPr>
            <w:tcW w:w="1587"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参选人资格要求</w:t>
            </w:r>
          </w:p>
        </w:tc>
        <w:tc>
          <w:tcPr>
            <w:tcW w:w="2910"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（1）具有司法行政主管部门颁发的《律师事务所执业许可证》，合法存续且年度年检合格。</w:t>
            </w:r>
          </w:p>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（2）参选人须具有良好的商业信誉，在“信用中国”网站上查询无严重违反失信、经营异常，参加本次比选活动前三年内，在经营活动中没有重大违法记录。</w:t>
            </w:r>
          </w:p>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（3）律所及团队成员无刑事犯罪记录，近3年内未受过纪律处分、行政处罚或行业处分</w:t>
            </w:r>
          </w:p>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（4）参选人须具有与本比选项目相应的法律服务能力，参选人需指派三名熟悉买卖合同纠纷案件的专职律师承办本案，其中项目负责人律师执业年限在3年（含）以上。</w:t>
            </w:r>
          </w:p>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 xml:space="preserve">（5）本次比选不接受联合体参选。 </w:t>
            </w:r>
          </w:p>
        </w:tc>
      </w:tr>
      <w:tr>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11</w:t>
            </w:r>
          </w:p>
        </w:tc>
        <w:tc>
          <w:tcPr>
            <w:tcW w:w="1587"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联合体参选</w:t>
            </w:r>
          </w:p>
        </w:tc>
        <w:tc>
          <w:tcPr>
            <w:tcW w:w="2910"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不接受</w:t>
            </w:r>
          </w:p>
        </w:tc>
      </w:tr>
      <w:tr>
        <w:tblPrEx>
          <w:tblCellMar>
            <w:top w:w="141" w:type="dxa"/>
            <w:left w:w="108" w:type="dxa"/>
            <w:bottom w:w="44" w:type="dxa"/>
            <w:right w:w="118" w:type="dxa"/>
          </w:tblCellMar>
        </w:tblPrEx>
        <w:trPr>
          <w:trHeight w:val="449"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12</w:t>
            </w:r>
          </w:p>
        </w:tc>
        <w:tc>
          <w:tcPr>
            <w:tcW w:w="1587"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参选报价的要求</w:t>
            </w:r>
          </w:p>
        </w:tc>
        <w:tc>
          <w:tcPr>
            <w:tcW w:w="2910"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参选报价不得超过最高限价。</w:t>
            </w:r>
          </w:p>
        </w:tc>
      </w:tr>
      <w:tr>
        <w:tblPrEx>
          <w:tblCellMar>
            <w:top w:w="141" w:type="dxa"/>
            <w:left w:w="108" w:type="dxa"/>
            <w:bottom w:w="44" w:type="dxa"/>
            <w:right w:w="118"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13</w:t>
            </w:r>
          </w:p>
        </w:tc>
        <w:tc>
          <w:tcPr>
            <w:tcW w:w="1587"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最高参选限价</w:t>
            </w:r>
          </w:p>
        </w:tc>
        <w:tc>
          <w:tcPr>
            <w:tcW w:w="2910"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highlight w:val="none"/>
                <w:lang w:val="en-US" w:eastAsia="zh-CN"/>
              </w:rPr>
              <w:t>最高参选限价：16万元，</w:t>
            </w:r>
            <w:r>
              <w:rPr>
                <w:rFonts w:hint="eastAsia" w:ascii="仿宋_GB2312" w:hAnsi="仿宋_GB2312" w:eastAsia="仿宋_GB2312" w:cs="仿宋_GB2312"/>
                <w:color w:val="auto"/>
                <w:kern w:val="0"/>
                <w:sz w:val="24"/>
                <w:szCs w:val="24"/>
                <w:highlight w:val="none"/>
                <w:lang w:val="en-US" w:eastAsia="zh-CN"/>
              </w:rPr>
              <w:t>其中基础代理费不高于8万元，风险代理费不超过8万元;</w:t>
            </w:r>
          </w:p>
        </w:tc>
      </w:tr>
      <w:tr>
        <w:tblPrEx>
          <w:tblCellMar>
            <w:top w:w="141" w:type="dxa"/>
            <w:left w:w="108" w:type="dxa"/>
            <w:bottom w:w="44" w:type="dxa"/>
            <w:right w:w="118"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14</w:t>
            </w:r>
          </w:p>
        </w:tc>
        <w:tc>
          <w:tcPr>
            <w:tcW w:w="1587"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参选有效期</w:t>
            </w:r>
          </w:p>
        </w:tc>
        <w:tc>
          <w:tcPr>
            <w:tcW w:w="2910"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报价截止之日起90天。</w:t>
            </w:r>
          </w:p>
        </w:tc>
      </w:tr>
      <w:tr>
        <w:tblPrEx>
          <w:tblCellMar>
            <w:top w:w="141" w:type="dxa"/>
            <w:left w:w="108" w:type="dxa"/>
            <w:bottom w:w="44" w:type="dxa"/>
            <w:right w:w="118" w:type="dxa"/>
          </w:tblCellMar>
        </w:tblPrEx>
        <w:trPr>
          <w:trHeight w:val="90"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15</w:t>
            </w:r>
          </w:p>
        </w:tc>
        <w:tc>
          <w:tcPr>
            <w:tcW w:w="1587"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参选保证金</w:t>
            </w:r>
          </w:p>
        </w:tc>
        <w:tc>
          <w:tcPr>
            <w:tcW w:w="2910"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不要求</w:t>
            </w:r>
          </w:p>
        </w:tc>
      </w:tr>
      <w:tr>
        <w:tblPrEx>
          <w:tblCellMar>
            <w:top w:w="141" w:type="dxa"/>
            <w:left w:w="108" w:type="dxa"/>
            <w:bottom w:w="44" w:type="dxa"/>
            <w:right w:w="118"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16</w:t>
            </w:r>
          </w:p>
        </w:tc>
        <w:tc>
          <w:tcPr>
            <w:tcW w:w="1587"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比选响应文件密封要求</w:t>
            </w:r>
          </w:p>
        </w:tc>
        <w:tc>
          <w:tcPr>
            <w:tcW w:w="2910"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比选响应文件包装应在其封套的封口处加贴封条，并在封套的封口处加盖参选人单位章（鲜章）。</w:t>
            </w:r>
          </w:p>
        </w:tc>
      </w:tr>
      <w:tr>
        <w:tblPrEx>
          <w:tblCellMar>
            <w:top w:w="141" w:type="dxa"/>
            <w:left w:w="108" w:type="dxa"/>
            <w:bottom w:w="44" w:type="dxa"/>
            <w:right w:w="118"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17</w:t>
            </w:r>
          </w:p>
        </w:tc>
        <w:tc>
          <w:tcPr>
            <w:tcW w:w="1587"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封套上应载明的信息</w:t>
            </w:r>
          </w:p>
        </w:tc>
        <w:tc>
          <w:tcPr>
            <w:tcW w:w="2910"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比选人名称：四川蜀物兴川物流发展有限公司</w:t>
            </w:r>
          </w:p>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比选人地址：成都市青羊区光华北5路266号青羊总部经济基地2栋A座11楼</w:t>
            </w:r>
          </w:p>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sz w:val="24"/>
                <w:szCs w:val="24"/>
              </w:rPr>
              <w:t>四川蜀物兴川物流发展有限公司</w:t>
            </w:r>
            <w:r>
              <w:rPr>
                <w:rFonts w:hint="eastAsia" w:ascii="仿宋_GB2312" w:hAnsi="仿宋_GB2312" w:eastAsia="仿宋_GB2312" w:cs="仿宋_GB2312"/>
                <w:color w:val="auto"/>
                <w:sz w:val="24"/>
                <w:szCs w:val="24"/>
                <w:lang w:val="en-US" w:eastAsia="zh-CN"/>
              </w:rPr>
              <w:t>与深圳某国企买卖合同纠纷</w:t>
            </w:r>
            <w:r>
              <w:rPr>
                <w:rFonts w:hint="eastAsia" w:ascii="仿宋_GB2312" w:hAnsi="仿宋_GB2312" w:eastAsia="仿宋_GB2312" w:cs="仿宋_GB2312"/>
                <w:color w:val="auto"/>
                <w:sz w:val="24"/>
                <w:szCs w:val="24"/>
              </w:rPr>
              <w:t>诉讼法律服务项目</w:t>
            </w:r>
            <w:r>
              <w:rPr>
                <w:rFonts w:hint="eastAsia" w:ascii="仿宋_GB2312" w:hAnsi="仿宋_GB2312" w:eastAsia="仿宋_GB2312" w:cs="仿宋_GB2312"/>
                <w:color w:val="auto"/>
                <w:kern w:val="0"/>
                <w:sz w:val="24"/>
                <w:szCs w:val="24"/>
                <w:lang w:val="en-US" w:eastAsia="zh-CN"/>
              </w:rPr>
              <w:t xml:space="preserve">（项目名称）比选响应文件 </w:t>
            </w:r>
          </w:p>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参选人名称：</w:t>
            </w:r>
          </w:p>
        </w:tc>
      </w:tr>
      <w:tr>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19</w:t>
            </w:r>
          </w:p>
        </w:tc>
        <w:tc>
          <w:tcPr>
            <w:tcW w:w="1587"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比选响应文件份数及其他要求</w:t>
            </w:r>
          </w:p>
        </w:tc>
        <w:tc>
          <w:tcPr>
            <w:tcW w:w="2910"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参选文件份数：一正一副</w:t>
            </w:r>
          </w:p>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是否要求提交电子版文件：否</w:t>
            </w:r>
          </w:p>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其他要求：比选响应文件的正本和副本一律用A4复印纸装订。比选响应文件的正本和副本应采用胶装方式左侧装订成册，页码连续，不得采用活页夹等可随时拆换的方式装订，不得有零散页。比选响应文件应编制目录。</w:t>
            </w:r>
          </w:p>
        </w:tc>
      </w:tr>
      <w:tr>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20</w:t>
            </w:r>
          </w:p>
        </w:tc>
        <w:tc>
          <w:tcPr>
            <w:tcW w:w="1587"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比选截止时间</w:t>
            </w:r>
          </w:p>
        </w:tc>
        <w:tc>
          <w:tcPr>
            <w:tcW w:w="2910"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见比选公告</w:t>
            </w:r>
          </w:p>
        </w:tc>
      </w:tr>
      <w:tr>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w:t>
            </w:r>
          </w:p>
        </w:tc>
        <w:tc>
          <w:tcPr>
            <w:tcW w:w="1587"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递交比选响应文件地点</w:t>
            </w:r>
          </w:p>
        </w:tc>
        <w:tc>
          <w:tcPr>
            <w:tcW w:w="2910"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成都市青羊区光华北五路266号青羊总部经济基地2栋A座11楼</w:t>
            </w:r>
          </w:p>
        </w:tc>
      </w:tr>
      <w:tr>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22</w:t>
            </w:r>
          </w:p>
        </w:tc>
        <w:tc>
          <w:tcPr>
            <w:tcW w:w="1587"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比选响应文件是否退还</w:t>
            </w:r>
          </w:p>
        </w:tc>
        <w:tc>
          <w:tcPr>
            <w:tcW w:w="2910"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否</w:t>
            </w:r>
          </w:p>
        </w:tc>
      </w:tr>
      <w:tr>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23</w:t>
            </w:r>
          </w:p>
        </w:tc>
        <w:tc>
          <w:tcPr>
            <w:tcW w:w="1587"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评选时间和地点</w:t>
            </w:r>
          </w:p>
        </w:tc>
        <w:tc>
          <w:tcPr>
            <w:tcW w:w="2910"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评选时间：同比选响应文件递交的截止时间</w:t>
            </w:r>
          </w:p>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开标地点：同递交比选响应文件地点</w:t>
            </w:r>
          </w:p>
        </w:tc>
      </w:tr>
      <w:tr>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24</w:t>
            </w:r>
          </w:p>
        </w:tc>
        <w:tc>
          <w:tcPr>
            <w:tcW w:w="1587"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履约保证金</w:t>
            </w:r>
          </w:p>
        </w:tc>
        <w:tc>
          <w:tcPr>
            <w:tcW w:w="2910" w:type="pct"/>
            <w:tcBorders>
              <w:top w:val="single" w:color="000000" w:sz="4" w:space="0"/>
              <w:left w:val="single" w:color="000000" w:sz="4" w:space="0"/>
              <w:bottom w:val="single" w:color="000000" w:sz="4" w:space="0"/>
              <w:right w:val="single" w:color="000000" w:sz="4" w:space="0"/>
            </w:tcBorders>
            <w:vAlign w:val="center"/>
          </w:tcPr>
          <w:p>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不要求</w:t>
            </w:r>
          </w:p>
        </w:tc>
      </w:tr>
    </w:tbl>
    <w:p>
      <w:pPr>
        <w:rPr>
          <w:rFonts w:ascii="宋体" w:hAnsi="宋体" w:eastAsia="宋体" w:cs="Times New Roman"/>
          <w:color w:val="auto"/>
          <w:sz w:val="21"/>
          <w:highlight w:val="none"/>
        </w:rPr>
      </w:pPr>
      <w:r>
        <w:rPr>
          <w:rFonts w:ascii="宋体" w:hAnsi="宋体" w:eastAsia="宋体" w:cs="Times New Roman"/>
          <w:color w:val="auto"/>
          <w:sz w:val="21"/>
          <w:highlight w:val="none"/>
        </w:rPr>
        <w:br w:type="page"/>
      </w:r>
    </w:p>
    <w:p>
      <w:pPr>
        <w:pStyle w:val="4"/>
        <w:numPr>
          <w:ilvl w:val="0"/>
          <w:numId w:val="1"/>
        </w:numPr>
        <w:spacing w:after="0" w:line="240" w:lineRule="auto"/>
        <w:ind w:left="0" w:right="0" w:firstLine="0"/>
        <w:rPr>
          <w:rFonts w:hint="eastAsia" w:ascii="黑体" w:hAnsi="黑体" w:eastAsia="黑体" w:cs="黑体"/>
          <w:b w:val="0"/>
          <w:bCs w:val="0"/>
          <w:color w:val="auto"/>
          <w:sz w:val="40"/>
          <w:szCs w:val="21"/>
          <w:highlight w:val="none"/>
        </w:rPr>
      </w:pPr>
      <w:bookmarkStart w:id="26" w:name="_Toc32563"/>
      <w:bookmarkStart w:id="27" w:name="_Toc10701"/>
      <w:r>
        <w:rPr>
          <w:rFonts w:hint="eastAsia" w:ascii="黑体" w:hAnsi="黑体" w:eastAsia="黑体" w:cs="黑体"/>
          <w:b w:val="0"/>
          <w:bCs w:val="0"/>
          <w:color w:val="auto"/>
          <w:sz w:val="40"/>
          <w:szCs w:val="21"/>
          <w:highlight w:val="none"/>
          <w:lang w:val="en-US" w:eastAsia="zh-CN"/>
        </w:rPr>
        <w:t>评审办法</w:t>
      </w:r>
      <w:r>
        <w:rPr>
          <w:rFonts w:hint="eastAsia" w:ascii="黑体" w:hAnsi="黑体" w:eastAsia="黑体" w:cs="黑体"/>
          <w:b w:val="0"/>
          <w:bCs w:val="0"/>
          <w:color w:val="auto"/>
          <w:sz w:val="40"/>
          <w:szCs w:val="21"/>
          <w:highlight w:val="none"/>
        </w:rPr>
        <w:t>（</w:t>
      </w:r>
      <w:r>
        <w:rPr>
          <w:rFonts w:hint="eastAsia" w:ascii="黑体" w:hAnsi="黑体" w:eastAsia="黑体" w:cs="黑体"/>
          <w:b w:val="0"/>
          <w:bCs w:val="0"/>
          <w:color w:val="auto"/>
          <w:sz w:val="40"/>
          <w:szCs w:val="21"/>
          <w:highlight w:val="none"/>
          <w:lang w:val="en-US" w:eastAsia="zh-CN"/>
        </w:rPr>
        <w:t>综合评分法</w:t>
      </w:r>
      <w:r>
        <w:rPr>
          <w:rFonts w:hint="eastAsia" w:ascii="黑体" w:hAnsi="黑体" w:eastAsia="黑体" w:cs="黑体"/>
          <w:b w:val="0"/>
          <w:bCs w:val="0"/>
          <w:color w:val="auto"/>
          <w:sz w:val="40"/>
          <w:szCs w:val="21"/>
          <w:highlight w:val="none"/>
        </w:rPr>
        <w:t>）</w:t>
      </w:r>
      <w:bookmarkEnd w:id="26"/>
      <w:bookmarkEnd w:id="27"/>
    </w:p>
    <w:p>
      <w:pPr>
        <w:rPr>
          <w:highlight w:val="none"/>
        </w:rPr>
      </w:pPr>
    </w:p>
    <w:p>
      <w:pPr>
        <w:spacing w:after="0" w:line="360" w:lineRule="auto"/>
        <w:ind w:firstLine="560" w:firstLineChars="200"/>
        <w:rPr>
          <w:rFonts w:hint="eastAsia" w:ascii="黑体" w:hAnsi="黑体" w:eastAsia="黑体" w:cs="黑体"/>
          <w:b w:val="0"/>
          <w:bCs/>
          <w:color w:val="auto"/>
          <w:kern w:val="2"/>
          <w:sz w:val="28"/>
          <w:szCs w:val="21"/>
          <w:highlight w:val="none"/>
          <w:lang w:val="en-US" w:eastAsia="zh-CN" w:bidi="ar-SA"/>
        </w:rPr>
      </w:pPr>
      <w:r>
        <w:rPr>
          <w:rFonts w:hint="eastAsia" w:ascii="黑体" w:hAnsi="黑体" w:eastAsia="黑体" w:cs="黑体"/>
          <w:b w:val="0"/>
          <w:bCs/>
          <w:color w:val="auto"/>
          <w:kern w:val="2"/>
          <w:sz w:val="28"/>
          <w:szCs w:val="21"/>
          <w:highlight w:val="none"/>
          <w:lang w:val="en-US" w:eastAsia="zh-CN" w:bidi="ar-SA"/>
        </w:rPr>
        <w:t>1.</w:t>
      </w:r>
      <w:r>
        <w:rPr>
          <w:rFonts w:hint="eastAsia" w:ascii="黑体" w:hAnsi="黑体" w:eastAsia="黑体" w:cs="黑体"/>
          <w:b w:val="0"/>
          <w:bCs/>
          <w:color w:val="auto"/>
          <w:kern w:val="2"/>
          <w:sz w:val="28"/>
          <w:szCs w:val="21"/>
          <w:highlight w:val="none"/>
          <w:lang w:val="zh-CN" w:eastAsia="zh-CN" w:bidi="ar-SA"/>
        </w:rPr>
        <w:t>评审</w:t>
      </w:r>
      <w:r>
        <w:rPr>
          <w:rFonts w:hint="eastAsia" w:ascii="黑体" w:hAnsi="黑体" w:eastAsia="黑体" w:cs="黑体"/>
          <w:b w:val="0"/>
          <w:bCs/>
          <w:color w:val="auto"/>
          <w:kern w:val="2"/>
          <w:sz w:val="28"/>
          <w:szCs w:val="21"/>
          <w:highlight w:val="none"/>
          <w:lang w:val="en-US" w:eastAsia="zh-CN" w:bidi="ar-SA"/>
        </w:rPr>
        <w:t>小组</w:t>
      </w:r>
    </w:p>
    <w:p>
      <w:pPr>
        <w:spacing w:after="0" w:line="360" w:lineRule="auto"/>
        <w:ind w:firstLine="480" w:firstLineChars="200"/>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zh-CN" w:eastAsia="zh-CN"/>
        </w:rPr>
        <w:t>1.</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val="zh-CN" w:eastAsia="zh-CN"/>
        </w:rPr>
        <w:t>评审工作由比选人相关成员组建的评审</w:t>
      </w:r>
      <w:r>
        <w:rPr>
          <w:rFonts w:hint="eastAsia" w:ascii="仿宋_GB2312" w:hAnsi="仿宋_GB2312" w:eastAsia="仿宋_GB2312" w:cs="仿宋_GB2312"/>
          <w:color w:val="auto"/>
          <w:sz w:val="24"/>
          <w:szCs w:val="24"/>
          <w:highlight w:val="none"/>
          <w:lang w:val="en-US" w:eastAsia="zh-CN"/>
        </w:rPr>
        <w:t>小组</w:t>
      </w:r>
      <w:r>
        <w:rPr>
          <w:rFonts w:hint="eastAsia" w:ascii="仿宋_GB2312" w:hAnsi="仿宋_GB2312" w:eastAsia="仿宋_GB2312" w:cs="仿宋_GB2312"/>
          <w:color w:val="auto"/>
          <w:sz w:val="24"/>
          <w:szCs w:val="24"/>
          <w:highlight w:val="none"/>
          <w:lang w:val="zh-CN" w:eastAsia="zh-CN"/>
        </w:rPr>
        <w:t>负责。</w:t>
      </w:r>
    </w:p>
    <w:p>
      <w:pPr>
        <w:spacing w:after="0" w:line="360" w:lineRule="auto"/>
        <w:ind w:firstLine="480" w:firstLineChars="200"/>
        <w:rPr>
          <w:rFonts w:hint="eastAsia" w:ascii="仿宋_GB2312" w:hAnsi="仿宋_GB2312" w:eastAsia="仿宋_GB2312" w:cs="仿宋_GB2312"/>
          <w:color w:val="auto"/>
          <w:sz w:val="24"/>
          <w:szCs w:val="28"/>
          <w:highlight w:val="none"/>
          <w:lang w:val="zh-CN"/>
        </w:rPr>
      </w:pPr>
      <w:r>
        <w:rPr>
          <w:rFonts w:hint="eastAsia" w:ascii="仿宋_GB2312" w:hAnsi="仿宋_GB2312" w:eastAsia="仿宋_GB2312" w:cs="仿宋_GB2312"/>
          <w:color w:val="auto"/>
          <w:sz w:val="24"/>
          <w:szCs w:val="28"/>
          <w:highlight w:val="none"/>
          <w:lang w:val="en-US" w:eastAsia="zh-CN"/>
        </w:rPr>
        <w:t>1.2</w:t>
      </w:r>
      <w:r>
        <w:rPr>
          <w:rFonts w:hint="eastAsia" w:ascii="仿宋_GB2312" w:hAnsi="仿宋_GB2312" w:eastAsia="仿宋_GB2312" w:cs="仿宋_GB2312"/>
          <w:color w:val="auto"/>
          <w:sz w:val="24"/>
          <w:szCs w:val="28"/>
          <w:highlight w:val="none"/>
          <w:lang w:val="zh-CN"/>
        </w:rPr>
        <w:t>与本次</w:t>
      </w:r>
      <w:r>
        <w:rPr>
          <w:rFonts w:hint="eastAsia" w:ascii="仿宋_GB2312" w:hAnsi="仿宋_GB2312" w:eastAsia="仿宋_GB2312" w:cs="仿宋_GB2312"/>
          <w:color w:val="auto"/>
          <w:sz w:val="24"/>
          <w:szCs w:val="28"/>
          <w:highlight w:val="none"/>
          <w:lang w:val="en-US" w:eastAsia="zh-CN"/>
        </w:rPr>
        <w:t>参选人</w:t>
      </w:r>
      <w:r>
        <w:rPr>
          <w:rFonts w:hint="eastAsia" w:ascii="仿宋_GB2312" w:hAnsi="仿宋_GB2312" w:eastAsia="仿宋_GB2312" w:cs="仿宋_GB2312"/>
          <w:color w:val="auto"/>
          <w:sz w:val="24"/>
          <w:szCs w:val="28"/>
          <w:highlight w:val="none"/>
          <w:lang w:val="zh-CN"/>
        </w:rPr>
        <w:t>存在经济利益或亲属关系的成员应当自行回避。</w:t>
      </w:r>
    </w:p>
    <w:p>
      <w:pPr>
        <w:spacing w:after="0" w:line="360" w:lineRule="auto"/>
        <w:ind w:firstLine="560" w:firstLineChars="200"/>
        <w:rPr>
          <w:rFonts w:hint="eastAsia" w:ascii="黑体" w:hAnsi="黑体" w:eastAsia="黑体" w:cs="黑体"/>
          <w:b w:val="0"/>
          <w:bCs/>
          <w:color w:val="auto"/>
          <w:kern w:val="2"/>
          <w:sz w:val="28"/>
          <w:szCs w:val="21"/>
          <w:highlight w:val="none"/>
          <w:lang w:val="zh-CN" w:eastAsia="zh-CN" w:bidi="ar-SA"/>
        </w:rPr>
      </w:pPr>
      <w:r>
        <w:rPr>
          <w:rFonts w:hint="eastAsia" w:ascii="黑体" w:hAnsi="黑体" w:eastAsia="黑体" w:cs="黑体"/>
          <w:b w:val="0"/>
          <w:bCs/>
          <w:color w:val="auto"/>
          <w:kern w:val="2"/>
          <w:sz w:val="28"/>
          <w:szCs w:val="21"/>
          <w:highlight w:val="none"/>
          <w:lang w:val="en-US" w:eastAsia="zh-CN" w:bidi="ar-SA"/>
        </w:rPr>
        <w:t>2.</w:t>
      </w:r>
      <w:r>
        <w:rPr>
          <w:rFonts w:hint="eastAsia" w:ascii="黑体" w:hAnsi="黑体" w:eastAsia="黑体" w:cs="黑体"/>
          <w:b w:val="0"/>
          <w:bCs/>
          <w:color w:val="auto"/>
          <w:kern w:val="2"/>
          <w:sz w:val="28"/>
          <w:szCs w:val="21"/>
          <w:highlight w:val="none"/>
          <w:lang w:val="zh-CN" w:eastAsia="zh-CN" w:bidi="ar-SA"/>
        </w:rPr>
        <w:t>评审程序</w:t>
      </w:r>
    </w:p>
    <w:p>
      <w:pPr>
        <w:spacing w:after="0" w:line="360" w:lineRule="auto"/>
        <w:ind w:firstLine="480" w:firstLineChars="200"/>
        <w:rPr>
          <w:rFonts w:hint="eastAsia" w:ascii="仿宋_GB2312" w:hAnsi="仿宋_GB2312" w:eastAsia="仿宋_GB2312" w:cs="仿宋_GB2312"/>
          <w:color w:val="auto"/>
          <w:sz w:val="24"/>
          <w:szCs w:val="28"/>
          <w:highlight w:val="none"/>
          <w:lang w:val="zh-CN" w:eastAsia="zh-CN"/>
        </w:rPr>
      </w:pPr>
      <w:r>
        <w:rPr>
          <w:rFonts w:hint="eastAsia" w:ascii="仿宋_GB2312" w:hAnsi="仿宋_GB2312" w:eastAsia="仿宋_GB2312" w:cs="仿宋_GB2312"/>
          <w:color w:val="auto"/>
          <w:sz w:val="24"/>
          <w:szCs w:val="28"/>
          <w:highlight w:val="none"/>
          <w:lang w:val="en-US" w:eastAsia="zh-CN"/>
        </w:rPr>
        <w:t>2.1</w:t>
      </w:r>
      <w:r>
        <w:rPr>
          <w:rFonts w:hint="eastAsia" w:ascii="仿宋_GB2312" w:hAnsi="仿宋_GB2312" w:eastAsia="仿宋_GB2312" w:cs="仿宋_GB2312"/>
          <w:color w:val="auto"/>
          <w:sz w:val="24"/>
          <w:szCs w:val="28"/>
          <w:highlight w:val="none"/>
          <w:lang w:val="zh-CN" w:eastAsia="zh-CN"/>
        </w:rPr>
        <w:t>根据各</w:t>
      </w:r>
      <w:r>
        <w:rPr>
          <w:rFonts w:hint="eastAsia" w:ascii="仿宋_GB2312" w:hAnsi="仿宋_GB2312" w:eastAsia="仿宋_GB2312" w:cs="仿宋_GB2312"/>
          <w:color w:val="auto"/>
          <w:sz w:val="24"/>
          <w:szCs w:val="28"/>
          <w:highlight w:val="none"/>
          <w:lang w:val="en-US" w:eastAsia="zh-CN"/>
        </w:rPr>
        <w:t>参选人</w:t>
      </w:r>
      <w:r>
        <w:rPr>
          <w:rFonts w:hint="eastAsia" w:ascii="仿宋_GB2312" w:hAnsi="仿宋_GB2312" w:eastAsia="仿宋_GB2312" w:cs="仿宋_GB2312"/>
          <w:color w:val="auto"/>
          <w:sz w:val="24"/>
          <w:szCs w:val="28"/>
          <w:highlight w:val="none"/>
          <w:lang w:val="zh-CN" w:eastAsia="zh-CN"/>
        </w:rPr>
        <w:t>递交的比选</w:t>
      </w:r>
      <w:r>
        <w:rPr>
          <w:rFonts w:hint="eastAsia" w:ascii="仿宋_GB2312" w:hAnsi="仿宋_GB2312" w:eastAsia="仿宋_GB2312" w:cs="仿宋_GB2312"/>
          <w:color w:val="auto"/>
          <w:sz w:val="24"/>
          <w:szCs w:val="28"/>
          <w:highlight w:val="none"/>
          <w:lang w:val="en-US" w:eastAsia="zh-CN"/>
        </w:rPr>
        <w:t>响应文件</w:t>
      </w:r>
      <w:r>
        <w:rPr>
          <w:rFonts w:hint="eastAsia" w:ascii="仿宋_GB2312" w:hAnsi="仿宋_GB2312" w:eastAsia="仿宋_GB2312" w:cs="仿宋_GB2312"/>
          <w:color w:val="auto"/>
          <w:sz w:val="24"/>
          <w:szCs w:val="28"/>
          <w:highlight w:val="none"/>
          <w:lang w:val="zh-CN" w:eastAsia="zh-CN"/>
        </w:rPr>
        <w:t>按照以下程序进行评审工作：</w:t>
      </w:r>
    </w:p>
    <w:p>
      <w:pPr>
        <w:spacing w:after="0" w:line="360" w:lineRule="auto"/>
        <w:ind w:firstLine="480" w:firstLineChars="200"/>
        <w:rPr>
          <w:rFonts w:hint="eastAsia" w:ascii="仿宋_GB2312" w:hAnsi="仿宋_GB2312" w:eastAsia="仿宋_GB2312" w:cs="仿宋_GB2312"/>
          <w:color w:val="auto"/>
          <w:sz w:val="24"/>
          <w:szCs w:val="28"/>
          <w:highlight w:val="none"/>
          <w:lang w:val="zh-CN" w:eastAsia="zh-CN"/>
        </w:rPr>
      </w:pPr>
      <w:r>
        <w:rPr>
          <w:rFonts w:hint="eastAsia" w:ascii="仿宋_GB2312" w:hAnsi="仿宋_GB2312" w:eastAsia="仿宋_GB2312" w:cs="仿宋_GB2312"/>
          <w:color w:val="auto"/>
          <w:sz w:val="24"/>
          <w:szCs w:val="28"/>
          <w:highlight w:val="none"/>
          <w:lang w:val="en-US" w:eastAsia="zh-CN"/>
        </w:rPr>
        <w:t>2.1.1</w:t>
      </w:r>
      <w:r>
        <w:rPr>
          <w:rFonts w:hint="eastAsia" w:ascii="仿宋_GB2312" w:hAnsi="仿宋_GB2312" w:eastAsia="仿宋_GB2312" w:cs="仿宋_GB2312"/>
          <w:color w:val="auto"/>
          <w:sz w:val="24"/>
          <w:szCs w:val="28"/>
          <w:highlight w:val="none"/>
          <w:lang w:val="zh-CN" w:eastAsia="zh-CN"/>
        </w:rPr>
        <w:t>对比选</w:t>
      </w:r>
      <w:r>
        <w:rPr>
          <w:rFonts w:hint="eastAsia" w:ascii="仿宋_GB2312" w:hAnsi="仿宋_GB2312" w:eastAsia="仿宋_GB2312" w:cs="仿宋_GB2312"/>
          <w:color w:val="auto"/>
          <w:sz w:val="24"/>
          <w:szCs w:val="28"/>
          <w:highlight w:val="none"/>
          <w:lang w:val="en-US" w:eastAsia="zh-CN"/>
        </w:rPr>
        <w:t>响应</w:t>
      </w:r>
      <w:r>
        <w:rPr>
          <w:rFonts w:hint="eastAsia" w:ascii="仿宋_GB2312" w:hAnsi="仿宋_GB2312" w:eastAsia="仿宋_GB2312" w:cs="仿宋_GB2312"/>
          <w:color w:val="auto"/>
          <w:sz w:val="24"/>
          <w:szCs w:val="28"/>
          <w:highlight w:val="none"/>
          <w:lang w:val="zh-CN" w:eastAsia="zh-CN"/>
        </w:rPr>
        <w:t>文件进行初审（包括</w:t>
      </w:r>
      <w:r>
        <w:rPr>
          <w:rFonts w:hint="eastAsia" w:ascii="仿宋_GB2312" w:hAnsi="仿宋_GB2312" w:eastAsia="仿宋_GB2312" w:cs="仿宋_GB2312"/>
          <w:color w:val="auto"/>
          <w:sz w:val="24"/>
          <w:szCs w:val="28"/>
          <w:highlight w:val="none"/>
          <w:lang w:val="en-US" w:eastAsia="zh-CN"/>
        </w:rPr>
        <w:t>形式评审、资格评审、响应性评审</w:t>
      </w:r>
      <w:r>
        <w:rPr>
          <w:rFonts w:hint="eastAsia" w:ascii="仿宋_GB2312" w:hAnsi="仿宋_GB2312" w:eastAsia="仿宋_GB2312" w:cs="仿宋_GB2312"/>
          <w:color w:val="auto"/>
          <w:sz w:val="24"/>
          <w:szCs w:val="28"/>
          <w:highlight w:val="none"/>
          <w:lang w:val="zh-CN" w:eastAsia="zh-CN"/>
        </w:rPr>
        <w:t>，剔除无效比选</w:t>
      </w:r>
      <w:r>
        <w:rPr>
          <w:rFonts w:hint="eastAsia" w:ascii="仿宋_GB2312" w:hAnsi="仿宋_GB2312" w:eastAsia="仿宋_GB2312" w:cs="仿宋_GB2312"/>
          <w:color w:val="auto"/>
          <w:sz w:val="24"/>
          <w:szCs w:val="28"/>
          <w:highlight w:val="none"/>
          <w:lang w:val="en-US" w:eastAsia="zh-CN"/>
        </w:rPr>
        <w:t>响应文件</w:t>
      </w:r>
      <w:r>
        <w:rPr>
          <w:rFonts w:hint="eastAsia" w:ascii="仿宋_GB2312" w:hAnsi="仿宋_GB2312" w:eastAsia="仿宋_GB2312" w:cs="仿宋_GB2312"/>
          <w:color w:val="auto"/>
          <w:sz w:val="24"/>
          <w:szCs w:val="28"/>
          <w:highlight w:val="none"/>
          <w:lang w:val="zh-CN" w:eastAsia="zh-CN"/>
        </w:rPr>
        <w:t>）；</w:t>
      </w:r>
    </w:p>
    <w:p>
      <w:pPr>
        <w:spacing w:after="0" w:line="360" w:lineRule="auto"/>
        <w:ind w:firstLine="480" w:firstLineChars="200"/>
        <w:rPr>
          <w:rFonts w:hint="eastAsia" w:ascii="仿宋_GB2312" w:hAnsi="仿宋_GB2312" w:eastAsia="仿宋_GB2312" w:cs="仿宋_GB2312"/>
          <w:color w:val="auto"/>
          <w:sz w:val="24"/>
          <w:szCs w:val="28"/>
          <w:highlight w:val="none"/>
          <w:lang w:val="zh-CN" w:eastAsia="zh-CN"/>
        </w:rPr>
      </w:pPr>
      <w:r>
        <w:rPr>
          <w:rFonts w:hint="eastAsia" w:ascii="仿宋_GB2312" w:hAnsi="仿宋_GB2312" w:eastAsia="仿宋_GB2312" w:cs="仿宋_GB2312"/>
          <w:color w:val="auto"/>
          <w:sz w:val="24"/>
          <w:szCs w:val="28"/>
          <w:highlight w:val="none"/>
          <w:lang w:val="en-US" w:eastAsia="zh-CN"/>
        </w:rPr>
        <w:t>2.1.2</w:t>
      </w:r>
      <w:r>
        <w:rPr>
          <w:rFonts w:hint="eastAsia" w:ascii="仿宋_GB2312" w:hAnsi="仿宋_GB2312" w:eastAsia="仿宋_GB2312" w:cs="仿宋_GB2312"/>
          <w:color w:val="auto"/>
          <w:sz w:val="24"/>
          <w:szCs w:val="28"/>
          <w:highlight w:val="none"/>
          <w:lang w:val="zh-CN" w:eastAsia="zh-CN"/>
        </w:rPr>
        <w:t>按照比选人制定的《评审标准》对通过初审的</w:t>
      </w:r>
      <w:r>
        <w:rPr>
          <w:rFonts w:hint="eastAsia" w:ascii="仿宋_GB2312" w:hAnsi="仿宋_GB2312" w:eastAsia="仿宋_GB2312" w:cs="仿宋_GB2312"/>
          <w:color w:val="auto"/>
          <w:sz w:val="24"/>
          <w:szCs w:val="28"/>
          <w:highlight w:val="none"/>
          <w:lang w:val="en-US" w:eastAsia="zh-CN"/>
        </w:rPr>
        <w:t>响应</w:t>
      </w:r>
      <w:r>
        <w:rPr>
          <w:rFonts w:hint="eastAsia" w:ascii="仿宋_GB2312" w:hAnsi="仿宋_GB2312" w:eastAsia="仿宋_GB2312" w:cs="仿宋_GB2312"/>
          <w:color w:val="auto"/>
          <w:sz w:val="24"/>
          <w:szCs w:val="28"/>
          <w:highlight w:val="none"/>
          <w:lang w:val="zh-CN" w:eastAsia="zh-CN"/>
        </w:rPr>
        <w:t>文件逐项打分；</w:t>
      </w:r>
    </w:p>
    <w:p>
      <w:pPr>
        <w:spacing w:after="0" w:line="360" w:lineRule="auto"/>
        <w:ind w:firstLine="480" w:firstLineChars="200"/>
        <w:rPr>
          <w:rFonts w:hint="eastAsia" w:ascii="仿宋_GB2312" w:hAnsi="仿宋_GB2312" w:eastAsia="仿宋_GB2312" w:cs="仿宋_GB2312"/>
          <w:color w:val="auto"/>
          <w:sz w:val="24"/>
          <w:szCs w:val="28"/>
          <w:highlight w:val="none"/>
          <w:lang w:val="zh-CN" w:eastAsia="zh-CN"/>
        </w:rPr>
      </w:pPr>
      <w:r>
        <w:rPr>
          <w:rFonts w:hint="eastAsia" w:ascii="仿宋_GB2312" w:hAnsi="仿宋_GB2312" w:eastAsia="仿宋_GB2312" w:cs="仿宋_GB2312"/>
          <w:color w:val="auto"/>
          <w:sz w:val="24"/>
          <w:szCs w:val="28"/>
          <w:highlight w:val="none"/>
          <w:lang w:val="en-US" w:eastAsia="zh-CN"/>
        </w:rPr>
        <w:t>2.1.3评审小组对所有参选人的综合得分从高到低进行排序，根据评分排名推荐1-3名作为中选人。</w:t>
      </w:r>
    </w:p>
    <w:p>
      <w:pPr>
        <w:spacing w:after="0" w:line="360" w:lineRule="auto"/>
        <w:ind w:firstLine="560" w:firstLineChars="200"/>
        <w:rPr>
          <w:rFonts w:hint="default" w:ascii="黑体" w:hAnsi="黑体" w:eastAsia="黑体" w:cs="黑体"/>
          <w:b w:val="0"/>
          <w:bCs/>
          <w:color w:val="auto"/>
          <w:kern w:val="2"/>
          <w:sz w:val="28"/>
          <w:szCs w:val="21"/>
          <w:highlight w:val="none"/>
          <w:lang w:val="en-US" w:eastAsia="zh-CN" w:bidi="ar-SA"/>
        </w:rPr>
      </w:pPr>
      <w:r>
        <w:rPr>
          <w:rFonts w:hint="eastAsia" w:ascii="黑体" w:hAnsi="黑体" w:eastAsia="黑体" w:cs="黑体"/>
          <w:b w:val="0"/>
          <w:bCs/>
          <w:color w:val="auto"/>
          <w:kern w:val="2"/>
          <w:sz w:val="28"/>
          <w:szCs w:val="21"/>
          <w:highlight w:val="none"/>
          <w:lang w:val="en-US" w:eastAsia="zh-CN" w:bidi="ar-SA"/>
        </w:rPr>
        <w:t>3.评审标准</w:t>
      </w:r>
    </w:p>
    <w:p>
      <w:pPr>
        <w:pStyle w:val="14"/>
        <w:numPr>
          <w:ilvl w:val="0"/>
          <w:numId w:val="0"/>
        </w:numPr>
        <w:ind w:left="397" w:leftChars="0"/>
        <w:jc w:val="center"/>
        <w:rPr>
          <w:rFonts w:hint="default" w:ascii="Calibri" w:hAnsi="Calibri" w:eastAsia="宋体" w:cs="Calibri"/>
          <w:b/>
          <w:bCs/>
          <w:color w:val="auto"/>
          <w:kern w:val="2"/>
          <w:sz w:val="24"/>
          <w:szCs w:val="24"/>
          <w:highlight w:val="none"/>
          <w:lang w:val="en-US" w:eastAsia="zh-CN" w:bidi="ar-SA"/>
        </w:rPr>
      </w:pPr>
      <w:r>
        <w:rPr>
          <w:rFonts w:hint="eastAsia" w:ascii="Calibri" w:hAnsi="Calibri" w:eastAsia="宋体" w:cs="Calibri"/>
          <w:b/>
          <w:bCs/>
          <w:color w:val="auto"/>
          <w:kern w:val="2"/>
          <w:sz w:val="24"/>
          <w:szCs w:val="24"/>
          <w:highlight w:val="none"/>
          <w:lang w:val="en-US" w:eastAsia="zh-CN" w:bidi="ar-SA"/>
        </w:rPr>
        <w:t>（一）初步评审表</w:t>
      </w:r>
    </w:p>
    <w:tbl>
      <w:tblPr>
        <w:tblStyle w:val="44"/>
        <w:tblW w:w="5042" w:type="pct"/>
        <w:tblInd w:w="-12" w:type="dxa"/>
        <w:tblLayout w:type="autofit"/>
        <w:tblCellMar>
          <w:top w:w="0" w:type="dxa"/>
          <w:left w:w="108" w:type="dxa"/>
          <w:bottom w:w="46" w:type="dxa"/>
          <w:right w:w="89" w:type="dxa"/>
        </w:tblCellMar>
      </w:tblPr>
      <w:tblGrid>
        <w:gridCol w:w="545"/>
        <w:gridCol w:w="1249"/>
        <w:gridCol w:w="2092"/>
        <w:gridCol w:w="5751"/>
      </w:tblGrid>
      <w:tr>
        <w:tblPrEx>
          <w:tblCellMar>
            <w:top w:w="0" w:type="dxa"/>
            <w:left w:w="108" w:type="dxa"/>
            <w:bottom w:w="46" w:type="dxa"/>
            <w:right w:w="89" w:type="dxa"/>
          </w:tblCellMar>
        </w:tblPrEx>
        <w:trPr>
          <w:trHeight w:val="378" w:hRule="atLeast"/>
        </w:trPr>
        <w:tc>
          <w:tcPr>
            <w:tcW w:w="931"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条款号</w:t>
            </w:r>
          </w:p>
        </w:tc>
        <w:tc>
          <w:tcPr>
            <w:tcW w:w="10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评审因素</w:t>
            </w:r>
          </w:p>
        </w:tc>
        <w:tc>
          <w:tcPr>
            <w:tcW w:w="298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评审标准</w:t>
            </w:r>
            <w:r>
              <w:rPr>
                <w:rFonts w:hint="eastAsia" w:ascii="黑体" w:hAnsi="黑体" w:eastAsia="黑体" w:cs="黑体"/>
                <w:b/>
                <w:color w:val="auto"/>
                <w:sz w:val="22"/>
                <w:szCs w:val="22"/>
                <w:highlight w:val="none"/>
              </w:rPr>
              <w:t xml:space="preserve"> </w:t>
            </w:r>
          </w:p>
        </w:tc>
      </w:tr>
      <w:tr>
        <w:tblPrEx>
          <w:tblCellMar>
            <w:top w:w="0" w:type="dxa"/>
            <w:left w:w="108" w:type="dxa"/>
            <w:bottom w:w="46" w:type="dxa"/>
            <w:right w:w="89" w:type="dxa"/>
          </w:tblCellMar>
        </w:tblPrEx>
        <w:trPr>
          <w:trHeight w:val="397" w:hRule="atLeast"/>
        </w:trPr>
        <w:tc>
          <w:tcPr>
            <w:tcW w:w="283" w:type="pct"/>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1</w:t>
            </w:r>
          </w:p>
        </w:tc>
        <w:tc>
          <w:tcPr>
            <w:tcW w:w="647" w:type="pct"/>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形式评审</w:t>
            </w:r>
          </w:p>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标准 </w:t>
            </w:r>
          </w:p>
        </w:tc>
        <w:tc>
          <w:tcPr>
            <w:tcW w:w="10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参选</w:t>
            </w:r>
            <w:r>
              <w:rPr>
                <w:rFonts w:hint="eastAsia" w:ascii="仿宋_GB2312" w:hAnsi="仿宋_GB2312" w:eastAsia="仿宋_GB2312" w:cs="仿宋_GB2312"/>
                <w:color w:val="auto"/>
                <w:sz w:val="22"/>
                <w:szCs w:val="22"/>
                <w:highlight w:val="none"/>
              </w:rPr>
              <w:t>人名称</w:t>
            </w:r>
          </w:p>
        </w:tc>
        <w:tc>
          <w:tcPr>
            <w:tcW w:w="298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与律师事务所执业许可证一致</w:t>
            </w:r>
          </w:p>
        </w:tc>
      </w:tr>
      <w:tr>
        <w:tblPrEx>
          <w:tblCellMar>
            <w:top w:w="0" w:type="dxa"/>
            <w:left w:w="108" w:type="dxa"/>
            <w:bottom w:w="46" w:type="dxa"/>
            <w:right w:w="89" w:type="dxa"/>
          </w:tblCellMar>
        </w:tblPrEx>
        <w:trPr>
          <w:trHeight w:val="1515" w:hRule="atLeast"/>
        </w:trPr>
        <w:tc>
          <w:tcPr>
            <w:tcW w:w="283" w:type="pct"/>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比选响应文件</w:t>
            </w:r>
            <w:r>
              <w:rPr>
                <w:rFonts w:hint="eastAsia" w:ascii="仿宋_GB2312" w:hAnsi="仿宋_GB2312" w:eastAsia="仿宋_GB2312" w:cs="仿宋_GB2312"/>
                <w:color w:val="auto"/>
                <w:sz w:val="22"/>
                <w:szCs w:val="22"/>
                <w:highlight w:val="none"/>
              </w:rPr>
              <w:t>及</w:t>
            </w:r>
            <w:r>
              <w:rPr>
                <w:rFonts w:hint="eastAsia" w:ascii="仿宋_GB2312" w:hAnsi="仿宋_GB2312" w:eastAsia="仿宋_GB2312" w:cs="仿宋_GB2312"/>
                <w:color w:val="auto"/>
                <w:sz w:val="22"/>
                <w:szCs w:val="22"/>
                <w:highlight w:val="none"/>
                <w:lang w:val="en-US" w:eastAsia="zh-CN"/>
              </w:rPr>
              <w:t>比选申请函</w:t>
            </w:r>
            <w:r>
              <w:rPr>
                <w:rFonts w:hint="eastAsia" w:ascii="仿宋_GB2312" w:hAnsi="仿宋_GB2312" w:eastAsia="仿宋_GB2312" w:cs="仿宋_GB2312"/>
                <w:color w:val="auto"/>
                <w:sz w:val="22"/>
                <w:szCs w:val="22"/>
                <w:highlight w:val="none"/>
              </w:rPr>
              <w:t>附录签字盖章</w:t>
            </w:r>
          </w:p>
        </w:tc>
        <w:tc>
          <w:tcPr>
            <w:tcW w:w="298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1</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按照</w:t>
            </w:r>
            <w:r>
              <w:rPr>
                <w:rFonts w:hint="eastAsia" w:ascii="仿宋_GB2312" w:hAnsi="仿宋_GB2312" w:eastAsia="仿宋_GB2312" w:cs="仿宋_GB2312"/>
                <w:color w:val="auto"/>
                <w:sz w:val="22"/>
                <w:szCs w:val="22"/>
                <w:highlight w:val="none"/>
                <w:lang w:val="en-US" w:eastAsia="zh-CN"/>
              </w:rPr>
              <w:t>比选文件</w:t>
            </w:r>
            <w:r>
              <w:rPr>
                <w:rFonts w:hint="eastAsia" w:ascii="仿宋_GB2312" w:hAnsi="仿宋_GB2312" w:eastAsia="仿宋_GB2312" w:cs="仿宋_GB2312"/>
                <w:color w:val="auto"/>
                <w:sz w:val="22"/>
                <w:szCs w:val="22"/>
                <w:highlight w:val="none"/>
              </w:rPr>
              <w:t>的</w:t>
            </w:r>
            <w:r>
              <w:rPr>
                <w:rFonts w:hint="eastAsia" w:ascii="仿宋_GB2312" w:hAnsi="仿宋_GB2312" w:eastAsia="仿宋_GB2312" w:cs="仿宋_GB2312"/>
                <w:color w:val="auto"/>
                <w:sz w:val="22"/>
                <w:szCs w:val="22"/>
                <w:highlight w:val="none"/>
                <w:lang w:val="en-US" w:eastAsia="zh-CN"/>
              </w:rPr>
              <w:t>规定和</w:t>
            </w:r>
            <w:r>
              <w:rPr>
                <w:rFonts w:hint="eastAsia" w:ascii="仿宋_GB2312" w:hAnsi="仿宋_GB2312" w:eastAsia="仿宋_GB2312" w:cs="仿宋_GB2312"/>
                <w:color w:val="auto"/>
                <w:sz w:val="22"/>
                <w:szCs w:val="22"/>
                <w:highlight w:val="none"/>
              </w:rPr>
              <w:t>要求签字、盖章。</w:t>
            </w:r>
          </w:p>
          <w:p>
            <w:pPr>
              <w:keepNext w:val="0"/>
              <w:keepLines w:val="0"/>
              <w:pageBreakBefore w:val="0"/>
              <w:widowControl/>
              <w:numPr>
                <w:ilvl w:val="0"/>
                <w:numId w:val="0"/>
              </w:numPr>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2</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有</w:t>
            </w:r>
            <w:r>
              <w:rPr>
                <w:rFonts w:hint="eastAsia" w:ascii="仿宋_GB2312" w:hAnsi="仿宋_GB2312" w:eastAsia="仿宋_GB2312" w:cs="仿宋_GB2312"/>
                <w:color w:val="auto"/>
                <w:sz w:val="22"/>
                <w:szCs w:val="22"/>
                <w:highlight w:val="none"/>
                <w:lang w:eastAsia="zh-CN"/>
              </w:rPr>
              <w:t>单位负责</w:t>
            </w:r>
            <w:r>
              <w:rPr>
                <w:rFonts w:hint="eastAsia" w:ascii="仿宋_GB2312" w:hAnsi="仿宋_GB2312" w:eastAsia="仿宋_GB2312" w:cs="仿宋_GB2312"/>
                <w:color w:val="auto"/>
                <w:sz w:val="22"/>
                <w:szCs w:val="22"/>
                <w:highlight w:val="none"/>
              </w:rPr>
              <w:t>人</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或其委托代理人</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签字</w:t>
            </w:r>
            <w:r>
              <w:rPr>
                <w:rFonts w:hint="eastAsia" w:ascii="仿宋_GB2312" w:hAnsi="仿宋_GB2312" w:eastAsia="仿宋_GB2312" w:cs="仿宋_GB2312"/>
                <w:color w:val="auto"/>
                <w:sz w:val="22"/>
                <w:szCs w:val="22"/>
                <w:highlight w:val="none"/>
                <w:lang w:val="en-US" w:eastAsia="zh-CN"/>
              </w:rPr>
              <w:t>并</w:t>
            </w:r>
            <w:r>
              <w:rPr>
                <w:rFonts w:hint="eastAsia" w:ascii="仿宋_GB2312" w:hAnsi="仿宋_GB2312" w:eastAsia="仿宋_GB2312" w:cs="仿宋_GB2312"/>
                <w:color w:val="auto"/>
                <w:sz w:val="22"/>
                <w:szCs w:val="22"/>
                <w:highlight w:val="none"/>
              </w:rPr>
              <w:t>加盖单位</w:t>
            </w:r>
            <w:r>
              <w:rPr>
                <w:rFonts w:hint="eastAsia" w:ascii="仿宋_GB2312" w:hAnsi="仿宋_GB2312" w:eastAsia="仿宋_GB2312" w:cs="仿宋_GB2312"/>
                <w:color w:val="auto"/>
                <w:sz w:val="22"/>
                <w:szCs w:val="22"/>
                <w:highlight w:val="none"/>
                <w:lang w:val="en-US" w:eastAsia="zh-CN"/>
              </w:rPr>
              <w:t>公</w:t>
            </w:r>
            <w:r>
              <w:rPr>
                <w:rFonts w:hint="eastAsia" w:ascii="仿宋_GB2312" w:hAnsi="仿宋_GB2312" w:eastAsia="仿宋_GB2312" w:cs="仿宋_GB2312"/>
                <w:color w:val="auto"/>
                <w:sz w:val="22"/>
                <w:szCs w:val="22"/>
                <w:highlight w:val="none"/>
              </w:rPr>
              <w:t>章。</w:t>
            </w:r>
          </w:p>
          <w:p>
            <w:pPr>
              <w:keepNext w:val="0"/>
              <w:keepLines w:val="0"/>
              <w:pageBreakBefore w:val="0"/>
              <w:widowControl/>
              <w:numPr>
                <w:ilvl w:val="0"/>
                <w:numId w:val="0"/>
              </w:numPr>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3</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由</w:t>
            </w:r>
            <w:r>
              <w:rPr>
                <w:rFonts w:hint="eastAsia" w:ascii="仿宋_GB2312" w:hAnsi="仿宋_GB2312" w:eastAsia="仿宋_GB2312" w:cs="仿宋_GB2312"/>
                <w:color w:val="auto"/>
                <w:sz w:val="22"/>
                <w:szCs w:val="22"/>
                <w:highlight w:val="none"/>
                <w:lang w:eastAsia="zh-CN"/>
              </w:rPr>
              <w:t>单位负责</w:t>
            </w:r>
            <w:r>
              <w:rPr>
                <w:rFonts w:hint="eastAsia" w:ascii="仿宋_GB2312" w:hAnsi="仿宋_GB2312" w:eastAsia="仿宋_GB2312" w:cs="仿宋_GB2312"/>
                <w:color w:val="auto"/>
                <w:sz w:val="22"/>
                <w:szCs w:val="22"/>
                <w:highlight w:val="none"/>
              </w:rPr>
              <w:t>人签字的，应附</w:t>
            </w:r>
            <w:r>
              <w:rPr>
                <w:rFonts w:hint="eastAsia" w:ascii="仿宋_GB2312" w:hAnsi="仿宋_GB2312" w:eastAsia="仿宋_GB2312" w:cs="仿宋_GB2312"/>
                <w:color w:val="auto"/>
                <w:sz w:val="22"/>
                <w:szCs w:val="22"/>
                <w:highlight w:val="none"/>
                <w:lang w:eastAsia="zh-CN"/>
              </w:rPr>
              <w:t>单位负责</w:t>
            </w:r>
            <w:r>
              <w:rPr>
                <w:rFonts w:hint="eastAsia" w:ascii="仿宋_GB2312" w:hAnsi="仿宋_GB2312" w:eastAsia="仿宋_GB2312" w:cs="仿宋_GB2312"/>
                <w:color w:val="auto"/>
                <w:sz w:val="22"/>
                <w:szCs w:val="22"/>
                <w:highlight w:val="none"/>
              </w:rPr>
              <w:t>人身份证明，由代理人签字的，应附授权委托书，身份证明或授权委托书应符合第五章“</w:t>
            </w:r>
            <w:r>
              <w:rPr>
                <w:rFonts w:hint="eastAsia" w:ascii="仿宋_GB2312" w:hAnsi="仿宋_GB2312" w:eastAsia="仿宋_GB2312" w:cs="仿宋_GB2312"/>
                <w:color w:val="auto"/>
                <w:sz w:val="22"/>
                <w:szCs w:val="22"/>
                <w:highlight w:val="none"/>
                <w:lang w:val="en-US" w:eastAsia="zh-CN"/>
              </w:rPr>
              <w:t>比选响应</w:t>
            </w:r>
            <w:r>
              <w:rPr>
                <w:rFonts w:hint="eastAsia" w:ascii="仿宋_GB2312" w:hAnsi="仿宋_GB2312" w:eastAsia="仿宋_GB2312" w:cs="仿宋_GB2312"/>
                <w:color w:val="auto"/>
                <w:sz w:val="22"/>
                <w:szCs w:val="22"/>
                <w:highlight w:val="none"/>
              </w:rPr>
              <w:t>文件格式”的规定</w:t>
            </w:r>
            <w:r>
              <w:rPr>
                <w:rFonts w:hint="eastAsia" w:ascii="仿宋_GB2312" w:hAnsi="仿宋_GB2312" w:eastAsia="仿宋_GB2312" w:cs="仿宋_GB2312"/>
                <w:color w:val="auto"/>
                <w:sz w:val="22"/>
                <w:szCs w:val="22"/>
                <w:highlight w:val="none"/>
                <w:lang w:eastAsia="zh-CN"/>
              </w:rPr>
              <w:t>。</w:t>
            </w:r>
          </w:p>
        </w:tc>
      </w:tr>
      <w:tr>
        <w:tblPrEx>
          <w:tblCellMar>
            <w:top w:w="0" w:type="dxa"/>
            <w:left w:w="108" w:type="dxa"/>
            <w:bottom w:w="46" w:type="dxa"/>
            <w:right w:w="89" w:type="dxa"/>
          </w:tblCellMar>
        </w:tblPrEx>
        <w:trPr>
          <w:trHeight w:val="397" w:hRule="atLeast"/>
        </w:trPr>
        <w:tc>
          <w:tcPr>
            <w:tcW w:w="283" w:type="pct"/>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比选响应文件</w:t>
            </w:r>
            <w:r>
              <w:rPr>
                <w:rFonts w:hint="eastAsia" w:ascii="仿宋_GB2312" w:hAnsi="仿宋_GB2312" w:eastAsia="仿宋_GB2312" w:cs="仿宋_GB2312"/>
                <w:color w:val="auto"/>
                <w:sz w:val="22"/>
                <w:szCs w:val="22"/>
                <w:highlight w:val="none"/>
              </w:rPr>
              <w:t>格式</w:t>
            </w:r>
          </w:p>
        </w:tc>
        <w:tc>
          <w:tcPr>
            <w:tcW w:w="298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符合第五章“</w:t>
            </w:r>
            <w:r>
              <w:rPr>
                <w:rFonts w:hint="eastAsia" w:ascii="仿宋_GB2312" w:hAnsi="仿宋_GB2312" w:eastAsia="仿宋_GB2312" w:cs="仿宋_GB2312"/>
                <w:color w:val="auto"/>
                <w:sz w:val="22"/>
                <w:szCs w:val="22"/>
                <w:highlight w:val="none"/>
                <w:lang w:val="en-US" w:eastAsia="zh-CN"/>
              </w:rPr>
              <w:t>比选响应文件格式</w:t>
            </w:r>
            <w:r>
              <w:rPr>
                <w:rFonts w:hint="eastAsia" w:ascii="仿宋_GB2312" w:hAnsi="仿宋_GB2312" w:eastAsia="仿宋_GB2312" w:cs="仿宋_GB2312"/>
                <w:color w:val="auto"/>
                <w:sz w:val="22"/>
                <w:szCs w:val="22"/>
                <w:highlight w:val="none"/>
              </w:rPr>
              <w:t>”的规定</w:t>
            </w:r>
          </w:p>
        </w:tc>
      </w:tr>
      <w:tr>
        <w:tblPrEx>
          <w:tblCellMar>
            <w:top w:w="0" w:type="dxa"/>
            <w:left w:w="108" w:type="dxa"/>
            <w:bottom w:w="46" w:type="dxa"/>
            <w:right w:w="89" w:type="dxa"/>
          </w:tblCellMar>
        </w:tblPrEx>
        <w:trPr>
          <w:trHeight w:val="376" w:hRule="atLeast"/>
        </w:trPr>
        <w:tc>
          <w:tcPr>
            <w:tcW w:w="283" w:type="pct"/>
            <w:vMerge w:val="continue"/>
            <w:tcBorders>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结论</w:t>
            </w:r>
          </w:p>
        </w:tc>
        <w:tc>
          <w:tcPr>
            <w:tcW w:w="298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“通过”或“不通过”</w:t>
            </w:r>
          </w:p>
        </w:tc>
      </w:tr>
      <w:tr>
        <w:tblPrEx>
          <w:tblCellMar>
            <w:top w:w="0" w:type="dxa"/>
            <w:left w:w="108" w:type="dxa"/>
            <w:bottom w:w="46" w:type="dxa"/>
            <w:right w:w="89" w:type="dxa"/>
          </w:tblCellMar>
        </w:tblPrEx>
        <w:trPr>
          <w:trHeight w:val="563" w:hRule="atLeast"/>
        </w:trPr>
        <w:tc>
          <w:tcPr>
            <w:tcW w:w="283"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2</w:t>
            </w:r>
          </w:p>
        </w:tc>
        <w:tc>
          <w:tcPr>
            <w:tcW w:w="647"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资格评审</w:t>
            </w:r>
          </w:p>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标准 </w:t>
            </w:r>
          </w:p>
        </w:tc>
        <w:tc>
          <w:tcPr>
            <w:tcW w:w="10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执业许可证</w:t>
            </w:r>
          </w:p>
        </w:tc>
        <w:tc>
          <w:tcPr>
            <w:tcW w:w="29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提供</w:t>
            </w:r>
            <w:r>
              <w:rPr>
                <w:rFonts w:hint="eastAsia" w:ascii="仿宋_GB2312" w:hAnsi="仿宋_GB2312" w:eastAsia="仿宋_GB2312" w:cs="仿宋_GB2312"/>
                <w:color w:val="auto"/>
                <w:sz w:val="22"/>
                <w:szCs w:val="22"/>
                <w:highlight w:val="none"/>
              </w:rPr>
              <w:t>律师事务所执业许可证</w:t>
            </w:r>
          </w:p>
        </w:tc>
      </w:tr>
      <w:tr>
        <w:tblPrEx>
          <w:tblCellMar>
            <w:top w:w="0" w:type="dxa"/>
            <w:left w:w="108" w:type="dxa"/>
            <w:bottom w:w="46" w:type="dxa"/>
            <w:right w:w="89" w:type="dxa"/>
          </w:tblCellMar>
        </w:tblPrEx>
        <w:trPr>
          <w:trHeight w:val="496"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信誉要求</w:t>
            </w:r>
          </w:p>
        </w:tc>
        <w:tc>
          <w:tcPr>
            <w:tcW w:w="29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提供“</w:t>
            </w:r>
            <w:r>
              <w:rPr>
                <w:rFonts w:hint="eastAsia" w:ascii="仿宋_GB2312" w:hAnsi="仿宋_GB2312" w:eastAsia="仿宋_GB2312" w:cs="仿宋_GB2312"/>
                <w:b w:val="0"/>
                <w:bCs w:val="0"/>
                <w:color w:val="auto"/>
                <w:sz w:val="22"/>
                <w:szCs w:val="22"/>
                <w:highlight w:val="none"/>
                <w:lang w:val="en-US" w:eastAsia="zh-CN"/>
              </w:rPr>
              <w:t>信用中国网站</w:t>
            </w:r>
            <w:r>
              <w:rPr>
                <w:rFonts w:hint="eastAsia" w:ascii="仿宋_GB2312" w:hAnsi="仿宋_GB2312" w:eastAsia="仿宋_GB2312" w:cs="仿宋_GB2312"/>
                <w:color w:val="auto"/>
                <w:sz w:val="22"/>
                <w:szCs w:val="22"/>
                <w:highlight w:val="none"/>
                <w:lang w:val="en-US" w:eastAsia="zh-CN"/>
              </w:rPr>
              <w:t>”</w:t>
            </w:r>
            <w:r>
              <w:rPr>
                <w:rFonts w:hint="eastAsia" w:ascii="仿宋_GB2312" w:hAnsi="仿宋_GB2312" w:eastAsia="仿宋_GB2312" w:cs="仿宋_GB2312"/>
                <w:color w:val="auto"/>
                <w:sz w:val="22"/>
                <w:szCs w:val="22"/>
                <w:highlight w:val="none"/>
              </w:rPr>
              <w:t>严重失信主体名单、经营异常名录查询、失信被执行人查询、重大税收违法失信主体查询的截图</w:t>
            </w:r>
          </w:p>
        </w:tc>
      </w:tr>
      <w:tr>
        <w:tblPrEx>
          <w:tblCellMar>
            <w:top w:w="0" w:type="dxa"/>
            <w:left w:w="108" w:type="dxa"/>
            <w:bottom w:w="46" w:type="dxa"/>
            <w:right w:w="89" w:type="dxa"/>
          </w:tblCellMar>
        </w:tblPrEx>
        <w:trPr>
          <w:trHeight w:val="569"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rPr>
              <w:t>项目负责人</w:t>
            </w:r>
          </w:p>
        </w:tc>
        <w:tc>
          <w:tcPr>
            <w:tcW w:w="29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eastAsia="zh-CN"/>
              </w:rPr>
              <w:t>提供团队负责人</w:t>
            </w:r>
            <w:r>
              <w:rPr>
                <w:rFonts w:hint="eastAsia" w:ascii="仿宋_GB2312" w:hAnsi="仿宋_GB2312" w:eastAsia="仿宋_GB2312" w:cs="仿宋_GB2312"/>
                <w:color w:val="auto"/>
                <w:sz w:val="22"/>
                <w:szCs w:val="22"/>
                <w:highlight w:val="none"/>
                <w:lang w:val="en-US" w:eastAsia="zh-CN"/>
              </w:rPr>
              <w:t>及团队成员</w:t>
            </w:r>
            <w:r>
              <w:rPr>
                <w:rFonts w:hint="eastAsia" w:ascii="仿宋_GB2312" w:hAnsi="仿宋_GB2312" w:eastAsia="仿宋_GB2312" w:cs="仿宋_GB2312"/>
                <w:color w:val="auto"/>
                <w:sz w:val="22"/>
                <w:szCs w:val="22"/>
                <w:highlight w:val="none"/>
                <w:lang w:eastAsia="zh-CN"/>
              </w:rPr>
              <w:t>执业证书</w:t>
            </w:r>
          </w:p>
        </w:tc>
      </w:tr>
      <w:tr>
        <w:tblPrEx>
          <w:tblCellMar>
            <w:top w:w="0" w:type="dxa"/>
            <w:left w:w="108" w:type="dxa"/>
            <w:bottom w:w="46" w:type="dxa"/>
            <w:right w:w="89" w:type="dxa"/>
          </w:tblCellMar>
        </w:tblPrEx>
        <w:trPr>
          <w:trHeight w:val="569" w:hRule="atLeast"/>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结论</w:t>
            </w:r>
          </w:p>
        </w:tc>
        <w:tc>
          <w:tcPr>
            <w:tcW w:w="29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“通过”或“不通过”</w:t>
            </w:r>
          </w:p>
        </w:tc>
      </w:tr>
      <w:tr>
        <w:tblPrEx>
          <w:tblCellMar>
            <w:top w:w="0" w:type="dxa"/>
            <w:left w:w="108" w:type="dxa"/>
            <w:bottom w:w="46" w:type="dxa"/>
            <w:right w:w="89" w:type="dxa"/>
          </w:tblCellMar>
        </w:tblPrEx>
        <w:trPr>
          <w:trHeight w:val="619" w:hRule="atLeast"/>
        </w:trPr>
        <w:tc>
          <w:tcPr>
            <w:tcW w:w="283"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3</w:t>
            </w:r>
          </w:p>
        </w:tc>
        <w:tc>
          <w:tcPr>
            <w:tcW w:w="647"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响应性评审标准 </w:t>
            </w:r>
          </w:p>
        </w:tc>
        <w:tc>
          <w:tcPr>
            <w:tcW w:w="10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报价在</w:t>
            </w:r>
            <w:r>
              <w:rPr>
                <w:rFonts w:hint="eastAsia" w:ascii="仿宋_GB2312" w:hAnsi="仿宋_GB2312" w:eastAsia="仿宋_GB2312" w:cs="仿宋_GB2312"/>
                <w:color w:val="auto"/>
                <w:sz w:val="22"/>
                <w:szCs w:val="22"/>
                <w:highlight w:val="none"/>
                <w:lang w:val="en-US"/>
              </w:rPr>
              <w:t>最高限价</w:t>
            </w:r>
            <w:r>
              <w:rPr>
                <w:rFonts w:hint="eastAsia" w:ascii="仿宋_GB2312" w:hAnsi="仿宋_GB2312" w:eastAsia="仿宋_GB2312" w:cs="仿宋_GB2312"/>
                <w:color w:val="auto"/>
                <w:sz w:val="22"/>
                <w:szCs w:val="22"/>
                <w:highlight w:val="none"/>
                <w:lang w:val="en-US" w:eastAsia="zh-CN"/>
              </w:rPr>
              <w:t>范围内</w:t>
            </w:r>
          </w:p>
        </w:tc>
        <w:tc>
          <w:tcPr>
            <w:tcW w:w="29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rPr>
              <w:t>符合</w:t>
            </w:r>
            <w:r>
              <w:rPr>
                <w:rFonts w:hint="eastAsia" w:ascii="仿宋_GB2312" w:hAnsi="仿宋_GB2312" w:eastAsia="仿宋_GB2312" w:cs="仿宋_GB2312"/>
                <w:color w:val="auto"/>
                <w:sz w:val="22"/>
                <w:szCs w:val="22"/>
                <w:highlight w:val="none"/>
                <w:lang w:val="en-US" w:eastAsia="zh-CN"/>
              </w:rPr>
              <w:t>比选人限价要求</w:t>
            </w:r>
          </w:p>
        </w:tc>
      </w:tr>
      <w:tr>
        <w:tblPrEx>
          <w:tblCellMar>
            <w:top w:w="0" w:type="dxa"/>
            <w:left w:w="108" w:type="dxa"/>
            <w:bottom w:w="46" w:type="dxa"/>
            <w:right w:w="89" w:type="dxa"/>
          </w:tblCellMar>
        </w:tblPrEx>
        <w:trPr>
          <w:trHeight w:val="490"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服务期限</w:t>
            </w:r>
          </w:p>
        </w:tc>
        <w:tc>
          <w:tcPr>
            <w:tcW w:w="29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4"/>
                <w:szCs w:val="28"/>
                <w:highlight w:val="none"/>
              </w:rPr>
              <w:t>自代理合同签订之日起至甲方债权全部实现为止</w:t>
            </w:r>
          </w:p>
        </w:tc>
      </w:tr>
      <w:tr>
        <w:tblPrEx>
          <w:tblCellMar>
            <w:top w:w="0" w:type="dxa"/>
            <w:left w:w="108" w:type="dxa"/>
            <w:bottom w:w="46" w:type="dxa"/>
            <w:right w:w="89" w:type="dxa"/>
          </w:tblCellMar>
        </w:tblPrEx>
        <w:trPr>
          <w:trHeight w:val="466"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参选</w:t>
            </w:r>
            <w:r>
              <w:rPr>
                <w:rFonts w:hint="eastAsia" w:ascii="仿宋_GB2312" w:hAnsi="仿宋_GB2312" w:eastAsia="仿宋_GB2312" w:cs="仿宋_GB2312"/>
                <w:color w:val="auto"/>
                <w:sz w:val="22"/>
                <w:szCs w:val="22"/>
                <w:highlight w:val="none"/>
              </w:rPr>
              <w:t>有效期</w:t>
            </w:r>
          </w:p>
        </w:tc>
        <w:tc>
          <w:tcPr>
            <w:tcW w:w="29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报价截止之日起90天</w:t>
            </w:r>
          </w:p>
        </w:tc>
      </w:tr>
      <w:tr>
        <w:tblPrEx>
          <w:tblCellMar>
            <w:top w:w="0" w:type="dxa"/>
            <w:left w:w="108" w:type="dxa"/>
            <w:bottom w:w="46" w:type="dxa"/>
            <w:right w:w="89" w:type="dxa"/>
          </w:tblCellMar>
        </w:tblPrEx>
        <w:trPr>
          <w:trHeight w:val="466" w:hRule="atLeast"/>
        </w:trPr>
        <w:tc>
          <w:tcPr>
            <w:tcW w:w="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bookmarkStart w:id="28" w:name="_Toc128141260"/>
            <w:bookmarkStart w:id="29" w:name="_Toc12754"/>
            <w:bookmarkStart w:id="30" w:name="_Toc17543"/>
          </w:p>
        </w:tc>
        <w:tc>
          <w:tcPr>
            <w:tcW w:w="6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结论</w:t>
            </w:r>
          </w:p>
        </w:tc>
        <w:tc>
          <w:tcPr>
            <w:tcW w:w="29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“通过”或“不通过”</w:t>
            </w:r>
          </w:p>
        </w:tc>
      </w:tr>
    </w:tbl>
    <w:p>
      <w:pPr>
        <w:spacing w:line="400" w:lineRule="exact"/>
        <w:ind w:firstLine="442" w:firstLineChars="200"/>
        <w:jc w:val="center"/>
        <w:rPr>
          <w:rFonts w:ascii="宋体" w:hAnsi="宋体" w:eastAsia="宋体" w:cs="Times New Roman"/>
          <w:b/>
          <w:color w:val="auto"/>
          <w:szCs w:val="21"/>
          <w:highlight w:val="none"/>
        </w:rPr>
      </w:pPr>
    </w:p>
    <w:p>
      <w:pPr>
        <w:numPr>
          <w:ilvl w:val="0"/>
          <w:numId w:val="2"/>
        </w:numPr>
        <w:spacing w:line="400" w:lineRule="exact"/>
        <w:ind w:firstLine="442" w:firstLineChars="200"/>
        <w:jc w:val="center"/>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详细评审表</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1311"/>
        <w:gridCol w:w="758"/>
        <w:gridCol w:w="6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6" w:type="pct"/>
            <w:vAlign w:val="center"/>
          </w:tcPr>
          <w:p>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序号</w:t>
            </w:r>
          </w:p>
        </w:tc>
        <w:tc>
          <w:tcPr>
            <w:tcW w:w="685" w:type="pct"/>
            <w:vAlign w:val="center"/>
          </w:tcPr>
          <w:p>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评分因素</w:t>
            </w:r>
          </w:p>
          <w:p>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及权重</w:t>
            </w:r>
          </w:p>
        </w:tc>
        <w:tc>
          <w:tcPr>
            <w:tcW w:w="396" w:type="pct"/>
            <w:vAlign w:val="center"/>
          </w:tcPr>
          <w:p>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分值</w:t>
            </w:r>
          </w:p>
        </w:tc>
        <w:tc>
          <w:tcPr>
            <w:tcW w:w="3452" w:type="pct"/>
            <w:vAlign w:val="center"/>
          </w:tcPr>
          <w:p>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466" w:type="pct"/>
            <w:vAlign w:val="center"/>
          </w:tcPr>
          <w:p>
            <w:pPr>
              <w:spacing w:line="400" w:lineRule="exact"/>
              <w:ind w:firstLine="28"/>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685" w:type="pct"/>
            <w:vAlign w:val="center"/>
          </w:tcPr>
          <w:p>
            <w:pPr>
              <w:spacing w:line="4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报价</w:t>
            </w: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w:t>
            </w:r>
          </w:p>
        </w:tc>
        <w:tc>
          <w:tcPr>
            <w:tcW w:w="396" w:type="pct"/>
            <w:vAlign w:val="center"/>
          </w:tcPr>
          <w:p>
            <w:pPr>
              <w:spacing w:line="40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分</w:t>
            </w:r>
          </w:p>
        </w:tc>
        <w:tc>
          <w:tcPr>
            <w:tcW w:w="3452" w:type="pct"/>
            <w:vAlign w:val="center"/>
          </w:tcPr>
          <w:p>
            <w:pPr>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sz w:val="21"/>
                <w:szCs w:val="21"/>
              </w:rPr>
              <w:t>满足招标文件要求的基础代理费用、风险代理费用合计各</w:t>
            </w:r>
            <w:r>
              <w:rPr>
                <w:rFonts w:hint="eastAsia" w:ascii="仿宋_GB2312" w:hAnsi="仿宋_GB2312" w:eastAsia="仿宋_GB2312" w:cs="仿宋_GB2312"/>
                <w:color w:val="auto"/>
                <w:sz w:val="21"/>
                <w:szCs w:val="21"/>
                <w:lang w:eastAsia="zh-CN"/>
              </w:rPr>
              <w:t>参选人</w:t>
            </w:r>
            <w:r>
              <w:rPr>
                <w:rFonts w:hint="eastAsia" w:ascii="仿宋_GB2312" w:hAnsi="仿宋_GB2312" w:eastAsia="仿宋_GB2312" w:cs="仿宋_GB2312"/>
                <w:color w:val="auto"/>
                <w:sz w:val="21"/>
                <w:szCs w:val="21"/>
              </w:rPr>
              <w:t>报价平均价得满分，</w:t>
            </w:r>
            <w:r>
              <w:rPr>
                <w:rFonts w:hint="eastAsia" w:hAnsi="宋体" w:cs="宋体"/>
                <w:color w:val="auto"/>
                <w:sz w:val="21"/>
                <w:szCs w:val="21"/>
              </w:rPr>
              <w:t>每</w:t>
            </w:r>
            <w:r>
              <w:rPr>
                <w:rFonts w:hint="eastAsia" w:ascii="仿宋_GB2312" w:hAnsi="仿宋_GB2312" w:eastAsia="仿宋_GB2312" w:cs="仿宋_GB2312"/>
                <w:color w:val="auto"/>
                <w:sz w:val="21"/>
                <w:szCs w:val="21"/>
              </w:rPr>
              <w:t>超过平均价5000元扣2分，不足5000元按5000元计算；每低于平均价5000元扣1分，不足5000元按5000元计算。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6" w:type="pct"/>
            <w:vAlign w:val="center"/>
          </w:tcPr>
          <w:p>
            <w:pPr>
              <w:spacing w:line="400" w:lineRule="exact"/>
              <w:ind w:firstLine="28"/>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685" w:type="pct"/>
            <w:vAlign w:val="center"/>
          </w:tcPr>
          <w:p>
            <w:pPr>
              <w:spacing w:line="4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综合实力</w:t>
            </w:r>
            <w:r>
              <w:rPr>
                <w:rFonts w:hint="eastAsia" w:ascii="仿宋_GB2312" w:hAnsi="仿宋_GB2312" w:eastAsia="仿宋_GB2312" w:cs="仿宋_GB2312"/>
                <w:color w:val="auto"/>
                <w:sz w:val="21"/>
                <w:szCs w:val="21"/>
                <w:lang w:val="en-US" w:eastAsia="zh-CN"/>
              </w:rPr>
              <w:t>15</w:t>
            </w:r>
            <w:r>
              <w:rPr>
                <w:rFonts w:hint="eastAsia" w:ascii="仿宋_GB2312" w:hAnsi="仿宋_GB2312" w:eastAsia="仿宋_GB2312" w:cs="仿宋_GB2312"/>
                <w:color w:val="auto"/>
                <w:sz w:val="21"/>
                <w:szCs w:val="21"/>
              </w:rPr>
              <w:t>%</w:t>
            </w:r>
          </w:p>
        </w:tc>
        <w:tc>
          <w:tcPr>
            <w:tcW w:w="396" w:type="pct"/>
            <w:vAlign w:val="center"/>
          </w:tcPr>
          <w:p>
            <w:pPr>
              <w:spacing w:line="400" w:lineRule="exact"/>
              <w:ind w:firstLine="28"/>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15</w:t>
            </w:r>
            <w:r>
              <w:rPr>
                <w:rFonts w:hint="eastAsia" w:ascii="仿宋_GB2312" w:hAnsi="仿宋_GB2312" w:eastAsia="仿宋_GB2312" w:cs="仿宋_GB2312"/>
                <w:color w:val="auto"/>
                <w:sz w:val="21"/>
                <w:szCs w:val="21"/>
              </w:rPr>
              <w:t>分</w:t>
            </w:r>
          </w:p>
        </w:tc>
        <w:tc>
          <w:tcPr>
            <w:tcW w:w="3452" w:type="pct"/>
            <w:vAlign w:val="center"/>
          </w:tcPr>
          <w:p>
            <w:pPr>
              <w:spacing w:line="4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根据事务所团队律师人数、团队服务经验等进行综合评比打分。</w:t>
            </w:r>
          </w:p>
          <w:p>
            <w:pPr>
              <w:numPr>
                <w:ilvl w:val="255"/>
                <w:numId w:val="0"/>
              </w:numPr>
              <w:spacing w:line="4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事务所成立</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年得</w:t>
            </w:r>
            <w:r>
              <w:rPr>
                <w:rFonts w:hint="eastAsia" w:ascii="仿宋_GB2312" w:hAnsi="仿宋_GB2312" w:eastAsia="仿宋_GB2312" w:cs="仿宋_GB2312"/>
                <w:color w:val="auto"/>
                <w:sz w:val="21"/>
                <w:szCs w:val="21"/>
                <w:lang w:val="en-US" w:eastAsia="zh-CN"/>
              </w:rPr>
              <w:t>6</w:t>
            </w:r>
            <w:r>
              <w:rPr>
                <w:rFonts w:hint="eastAsia" w:ascii="仿宋_GB2312" w:hAnsi="仿宋_GB2312" w:eastAsia="仿宋_GB2312" w:cs="仿宋_GB2312"/>
                <w:color w:val="auto"/>
                <w:sz w:val="21"/>
                <w:szCs w:val="21"/>
              </w:rPr>
              <w:t>分，每增加1年加</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分，总分不超过</w:t>
            </w:r>
            <w:r>
              <w:rPr>
                <w:rFonts w:hint="eastAsia" w:ascii="仿宋_GB2312" w:hAnsi="仿宋_GB2312" w:eastAsia="仿宋_GB2312" w:cs="仿宋_GB2312"/>
                <w:color w:val="auto"/>
                <w:sz w:val="21"/>
                <w:szCs w:val="21"/>
                <w:lang w:val="en-US" w:eastAsia="zh-CN"/>
              </w:rPr>
              <w:t>15</w:t>
            </w:r>
            <w:r>
              <w:rPr>
                <w:rFonts w:hint="eastAsia" w:ascii="仿宋_GB2312" w:hAnsi="仿宋_GB2312" w:eastAsia="仿宋_GB2312" w:cs="仿宋_GB2312"/>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6" w:type="pct"/>
            <w:vAlign w:val="center"/>
          </w:tcPr>
          <w:p>
            <w:pPr>
              <w:spacing w:line="400" w:lineRule="exact"/>
              <w:ind w:firstLine="28"/>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685" w:type="pct"/>
            <w:vAlign w:val="center"/>
          </w:tcPr>
          <w:p>
            <w:pPr>
              <w:spacing w:line="4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人员配置20%</w:t>
            </w:r>
          </w:p>
        </w:tc>
        <w:tc>
          <w:tcPr>
            <w:tcW w:w="396" w:type="pct"/>
            <w:vAlign w:val="center"/>
          </w:tcPr>
          <w:p>
            <w:pPr>
              <w:spacing w:line="400" w:lineRule="exact"/>
              <w:ind w:firstLine="28"/>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20分</w:t>
            </w:r>
          </w:p>
        </w:tc>
        <w:tc>
          <w:tcPr>
            <w:tcW w:w="3452" w:type="pct"/>
            <w:vAlign w:val="center"/>
          </w:tcPr>
          <w:p>
            <w:pPr>
              <w:spacing w:line="4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1.为本项目配备的项目负责人执业5年得5分，每增加1年得1分，该项总分不超过10分。</w:t>
            </w:r>
          </w:p>
          <w:p>
            <w:pPr>
              <w:spacing w:line="400" w:lineRule="exact"/>
              <w:rPr>
                <w:rFonts w:ascii="仿宋_GB2312" w:hAnsi="仿宋_GB2312" w:eastAsia="仿宋_GB2312" w:cs="仿宋_GB2312"/>
                <w:color w:val="auto"/>
                <w:szCs w:val="21"/>
              </w:rPr>
            </w:pPr>
            <w:r>
              <w:rPr>
                <w:rFonts w:hint="eastAsia" w:ascii="仿宋_GB2312" w:hAnsi="仿宋_GB2312" w:eastAsia="仿宋_GB2312" w:cs="仿宋_GB2312"/>
                <w:color w:val="auto"/>
                <w:sz w:val="21"/>
                <w:szCs w:val="21"/>
              </w:rPr>
              <w:t>2.协办律师</w:t>
            </w:r>
            <w:r>
              <w:rPr>
                <w:rFonts w:hint="eastAsia" w:ascii="仿宋_GB2312" w:hAnsi="仿宋_GB2312" w:eastAsia="仿宋_GB2312" w:cs="仿宋_GB2312"/>
                <w:color w:val="auto"/>
                <w:sz w:val="21"/>
                <w:szCs w:val="21"/>
                <w:u w:val="single"/>
              </w:rPr>
              <w:t>每增加1名增加5分</w:t>
            </w:r>
            <w:r>
              <w:rPr>
                <w:rFonts w:hint="eastAsia" w:ascii="仿宋_GB2312" w:hAnsi="仿宋_GB2312" w:eastAsia="仿宋_GB2312" w:cs="仿宋_GB2312"/>
                <w:color w:val="auto"/>
                <w:sz w:val="21"/>
                <w:szCs w:val="21"/>
              </w:rPr>
              <w:t>，该项总分不超过10分（协办人员均应取得律师执业资格证且年检合格）。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685"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服务方案</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5%</w:t>
            </w:r>
          </w:p>
        </w:tc>
        <w:tc>
          <w:tcPr>
            <w:tcW w:w="396" w:type="pct"/>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5分</w:t>
            </w:r>
          </w:p>
        </w:tc>
        <w:tc>
          <w:tcPr>
            <w:tcW w:w="3452" w:type="pct"/>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提出针对本项目</w:t>
            </w:r>
            <w:r>
              <w:rPr>
                <w:rFonts w:hint="eastAsia" w:ascii="仿宋_GB2312" w:hAnsi="仿宋_GB2312" w:eastAsia="仿宋_GB2312" w:cs="仿宋_GB2312"/>
                <w:color w:val="auto"/>
                <w:sz w:val="21"/>
                <w:szCs w:val="21"/>
                <w:lang w:val="en-US" w:eastAsia="zh-CN"/>
              </w:rPr>
              <w:t>买卖</w:t>
            </w:r>
            <w:r>
              <w:rPr>
                <w:rFonts w:hint="eastAsia" w:ascii="仿宋_GB2312" w:hAnsi="仿宋_GB2312" w:eastAsia="仿宋_GB2312" w:cs="仿宋_GB2312"/>
                <w:color w:val="auto"/>
                <w:sz w:val="21"/>
                <w:szCs w:val="21"/>
              </w:rPr>
              <w:t>纠纷类案件的诉讼方案，至少包含以下方面：</w:t>
            </w:r>
          </w:p>
          <w:p>
            <w:pPr>
              <w:spacing w:line="400" w:lineRule="exact"/>
              <w:ind w:firstLine="28"/>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1.此类案件重点、难点阐述；</w:t>
            </w:r>
          </w:p>
          <w:p>
            <w:pPr>
              <w:spacing w:line="400" w:lineRule="exact"/>
              <w:ind w:firstLine="28"/>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2.此类案件的关键法律风险点分析；</w:t>
            </w:r>
          </w:p>
          <w:p>
            <w:pPr>
              <w:spacing w:line="400" w:lineRule="exact"/>
              <w:ind w:firstLine="28"/>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3.此类案件中可能涉及的相关诉讼焦点、关键证据及关键因素，分析诉讼的突破口。</w:t>
            </w:r>
          </w:p>
          <w:p>
            <w:pPr>
              <w:spacing w:line="400" w:lineRule="exact"/>
              <w:ind w:firstLine="28"/>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优：</w:t>
            </w:r>
            <w:r>
              <w:rPr>
                <w:rFonts w:hint="eastAsia" w:ascii="仿宋_GB2312" w:hAnsi="仿宋_GB2312" w:eastAsia="仿宋_GB2312" w:cs="仿宋_GB2312"/>
                <w:color w:val="auto"/>
                <w:sz w:val="21"/>
                <w:szCs w:val="21"/>
                <w:lang w:val="en-US" w:eastAsia="zh-CN"/>
              </w:rPr>
              <w:t>31</w:t>
            </w:r>
            <w:r>
              <w:rPr>
                <w:rFonts w:hint="eastAsia"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分，良：</w:t>
            </w:r>
            <w:r>
              <w:rPr>
                <w:rFonts w:hint="eastAsia" w:ascii="仿宋_GB2312" w:hAnsi="仿宋_GB2312" w:eastAsia="仿宋_GB2312" w:cs="仿宋_GB2312"/>
                <w:color w:val="auto"/>
                <w:sz w:val="21"/>
                <w:szCs w:val="21"/>
                <w:lang w:val="en-US" w:eastAsia="zh-CN"/>
              </w:rPr>
              <w:t>21-30</w:t>
            </w:r>
            <w:r>
              <w:rPr>
                <w:rFonts w:hint="eastAsia" w:ascii="仿宋_GB2312" w:hAnsi="仿宋_GB2312" w:eastAsia="仿宋_GB2312" w:cs="仿宋_GB2312"/>
                <w:color w:val="auto"/>
                <w:sz w:val="21"/>
                <w:szCs w:val="21"/>
              </w:rPr>
              <w:t xml:space="preserve"> 分 一般：</w:t>
            </w:r>
            <w:r>
              <w:rPr>
                <w:rFonts w:hint="eastAsia" w:ascii="仿宋_GB2312" w:hAnsi="仿宋_GB2312" w:eastAsia="仿宋_GB2312" w:cs="仿宋_GB2312"/>
                <w:color w:val="auto"/>
                <w:sz w:val="21"/>
                <w:szCs w:val="21"/>
                <w:lang w:val="en-US" w:eastAsia="zh-CN"/>
              </w:rPr>
              <w:t>11</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分，</w:t>
            </w:r>
            <w:r>
              <w:rPr>
                <w:rFonts w:hint="eastAsia" w:ascii="仿宋_GB2312" w:hAnsi="仿宋_GB2312" w:eastAsia="仿宋_GB2312" w:cs="仿宋_GB2312"/>
                <w:color w:val="auto"/>
                <w:sz w:val="21"/>
                <w:szCs w:val="21"/>
                <w:lang w:eastAsia="zh-Hans"/>
              </w:rPr>
              <w:t>差：0-</w:t>
            </w: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lang w:eastAsia="zh-Hans"/>
              </w:rPr>
              <w:t>分</w:t>
            </w:r>
            <w:r>
              <w:rPr>
                <w:rFonts w:hint="eastAsia" w:ascii="仿宋_GB2312" w:hAnsi="仿宋_GB2312" w:eastAsia="仿宋_GB2312" w:cs="仿宋_GB2312"/>
                <w:color w:val="auto"/>
                <w:sz w:val="21"/>
                <w:szCs w:val="21"/>
              </w:rPr>
              <w:t>（分数取整）</w:t>
            </w:r>
          </w:p>
          <w:p>
            <w:pPr>
              <w:pStyle w:val="14"/>
              <w:ind w:left="0" w:leftChars="0" w:firstLine="0" w:firstLineChars="0"/>
            </w:pP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为在诉讼前保守商业秘密各比选人申请人可自行假设并阐述诉讼方案、策略</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685" w:type="pct"/>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业绩</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0%</w:t>
            </w:r>
          </w:p>
        </w:tc>
        <w:tc>
          <w:tcPr>
            <w:tcW w:w="396" w:type="pct"/>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0分</w:t>
            </w:r>
          </w:p>
        </w:tc>
        <w:tc>
          <w:tcPr>
            <w:tcW w:w="3452"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参选律师团队负责人、主办律师代理类似商事合同纠纷的诉讼案件，每提供一个得5分（提供代理合</w:t>
            </w:r>
            <w:r>
              <w:rPr>
                <w:rFonts w:hint="eastAsia" w:ascii="Calibri" w:hAnsi="Calibri" w:eastAsia="仿宋_GB2312" w:cs="Calibri"/>
                <w:color w:val="auto"/>
                <w:sz w:val="21"/>
                <w:szCs w:val="21"/>
              </w:rPr>
              <w:t>同或者</w:t>
            </w:r>
            <w:r>
              <w:rPr>
                <w:rFonts w:hint="eastAsia" w:ascii="仿宋_GB2312" w:hAnsi="仿宋_GB2312" w:eastAsia="仿宋_GB2312" w:cs="仿宋_GB2312"/>
                <w:color w:val="auto"/>
                <w:sz w:val="21"/>
                <w:szCs w:val="21"/>
              </w:rPr>
              <w:t>判决书、裁定书、调解书等任一证明文件）</w:t>
            </w:r>
          </w:p>
        </w:tc>
      </w:tr>
    </w:tbl>
    <w:p>
      <w:pPr>
        <w:rPr>
          <w:rFonts w:ascii="宋体" w:hAnsi="宋体" w:eastAsia="宋体" w:cs="Times New Roman"/>
          <w:b/>
          <w:color w:val="auto"/>
          <w:szCs w:val="21"/>
          <w:highlight w:val="none"/>
        </w:rPr>
      </w:pPr>
      <w:r>
        <w:rPr>
          <w:rFonts w:ascii="宋体" w:hAnsi="宋体" w:eastAsia="宋体" w:cs="Times New Roman"/>
          <w:b/>
          <w:color w:val="auto"/>
          <w:szCs w:val="21"/>
          <w:highlight w:val="none"/>
        </w:rPr>
        <w:br w:type="page"/>
      </w:r>
    </w:p>
    <w:bookmarkEnd w:id="28"/>
    <w:bookmarkEnd w:id="29"/>
    <w:bookmarkEnd w:id="30"/>
    <w:p>
      <w:pPr>
        <w:spacing w:after="0"/>
        <w:ind w:left="4321"/>
        <w:rPr>
          <w:rFonts w:ascii="宋体" w:hAnsi="宋体" w:eastAsia="宋体"/>
          <w:color w:val="auto"/>
          <w:highlight w:val="none"/>
        </w:rPr>
      </w:pPr>
    </w:p>
    <w:p>
      <w:pPr>
        <w:pStyle w:val="4"/>
        <w:spacing w:after="0" w:line="360" w:lineRule="auto"/>
        <w:ind w:left="0" w:right="0" w:firstLine="0"/>
        <w:rPr>
          <w:rFonts w:hint="eastAsia" w:ascii="黑体" w:hAnsi="黑体" w:eastAsia="黑体" w:cs="黑体"/>
          <w:b/>
          <w:bCs/>
          <w:color w:val="auto"/>
          <w:sz w:val="28"/>
          <w:szCs w:val="21"/>
          <w:highlight w:val="none"/>
        </w:rPr>
      </w:pPr>
      <w:bookmarkStart w:id="31" w:name="_Toc15253"/>
      <w:bookmarkStart w:id="32" w:name="_Toc10424"/>
      <w:r>
        <w:rPr>
          <w:rFonts w:hint="eastAsia" w:ascii="黑体" w:hAnsi="黑体" w:eastAsia="黑体" w:cs="黑体"/>
          <w:b/>
          <w:bCs/>
          <w:color w:val="auto"/>
          <w:sz w:val="40"/>
          <w:szCs w:val="21"/>
          <w:highlight w:val="none"/>
        </w:rPr>
        <w:t>第四章 合同条款及格式</w:t>
      </w:r>
      <w:bookmarkEnd w:id="31"/>
      <w:bookmarkEnd w:id="32"/>
      <w:r>
        <w:rPr>
          <w:rFonts w:hint="eastAsia" w:ascii="黑体" w:hAnsi="黑体" w:eastAsia="黑体" w:cs="黑体"/>
          <w:b/>
          <w:bCs/>
          <w:color w:val="auto"/>
          <w:sz w:val="40"/>
          <w:szCs w:val="21"/>
          <w:highlight w:val="none"/>
        </w:rPr>
        <w:t xml:space="preserve"> </w:t>
      </w:r>
    </w:p>
    <w:p>
      <w:pPr>
        <w:spacing w:line="240" w:lineRule="atLeast"/>
        <w:jc w:val="center"/>
        <w:rPr>
          <w:rFonts w:hint="eastAsia" w:ascii="方正小标宋简体" w:hAnsi="方正小标宋简体" w:eastAsia="方正小标宋简体" w:cs="方正小标宋简体"/>
          <w:b/>
          <w:color w:val="auto"/>
          <w:spacing w:val="20"/>
          <w:sz w:val="36"/>
          <w:szCs w:val="36"/>
          <w:highlight w:val="none"/>
        </w:rPr>
      </w:pPr>
    </w:p>
    <w:p>
      <w:pPr>
        <w:jc w:val="center"/>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委托代理</w:t>
      </w:r>
      <w:r>
        <w:rPr>
          <w:rFonts w:hint="eastAsia" w:ascii="仿宋" w:hAnsi="仿宋" w:eastAsia="仿宋" w:cs="仿宋"/>
          <w:b/>
          <w:bCs w:val="0"/>
          <w:sz w:val="32"/>
          <w:szCs w:val="32"/>
        </w:rPr>
        <w:t>合同</w:t>
      </w:r>
    </w:p>
    <w:p>
      <w:pPr>
        <w:ind w:firstLine="6440" w:firstLineChars="2300"/>
        <w:jc w:val="both"/>
        <w:rPr>
          <w:rFonts w:hint="eastAsia" w:ascii="仿宋" w:hAnsi="仿宋" w:eastAsia="仿宋" w:cs="仿宋"/>
          <w:b w:val="0"/>
          <w:bCs/>
          <w:sz w:val="28"/>
          <w:szCs w:val="28"/>
        </w:rPr>
      </w:pPr>
      <w:r>
        <w:rPr>
          <w:rFonts w:hint="eastAsia" w:ascii="仿宋" w:hAnsi="仿宋" w:eastAsia="仿宋" w:cs="仿宋"/>
          <w:b w:val="0"/>
          <w:bCs/>
          <w:sz w:val="28"/>
          <w:szCs w:val="28"/>
        </w:rPr>
        <w:t>合同编号：</w:t>
      </w:r>
    </w:p>
    <w:p>
      <w:pPr>
        <w:rPr>
          <w:rFonts w:hint="eastAsia" w:ascii="仿宋" w:hAnsi="仿宋" w:eastAsia="仿宋" w:cs="仿宋"/>
          <w:b w:val="0"/>
          <w:bCs/>
          <w:sz w:val="28"/>
          <w:szCs w:val="28"/>
        </w:rPr>
      </w:pPr>
    </w:p>
    <w:p>
      <w:pPr>
        <w:spacing w:line="4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签订地点：成都市</w:t>
      </w:r>
    </w:p>
    <w:p>
      <w:pPr>
        <w:spacing w:line="4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签订时间：</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月</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日</w:t>
      </w:r>
    </w:p>
    <w:p>
      <w:pPr>
        <w:spacing w:line="4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甲方(</w:t>
      </w:r>
      <w:r>
        <w:rPr>
          <w:rFonts w:hint="eastAsia" w:ascii="仿宋_GB2312" w:hAnsi="仿宋_GB2312" w:eastAsia="仿宋_GB2312" w:cs="仿宋_GB2312"/>
          <w:color w:val="auto"/>
          <w:sz w:val="21"/>
          <w:szCs w:val="21"/>
          <w:lang w:val="en-US" w:eastAsia="zh-CN"/>
        </w:rPr>
        <w:t>委托人</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四川蜀物兴川物流发展有限公司</w:t>
      </w:r>
    </w:p>
    <w:p>
      <w:pPr>
        <w:spacing w:line="4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乙方（</w:t>
      </w:r>
      <w:r>
        <w:rPr>
          <w:rFonts w:hint="eastAsia" w:ascii="仿宋_GB2312" w:hAnsi="仿宋_GB2312" w:eastAsia="仿宋_GB2312" w:cs="仿宋_GB2312"/>
          <w:color w:val="auto"/>
          <w:sz w:val="21"/>
          <w:szCs w:val="21"/>
          <w:lang w:val="en-US" w:eastAsia="zh-CN"/>
        </w:rPr>
        <w:t>被委托</w:t>
      </w:r>
      <w:r>
        <w:rPr>
          <w:rFonts w:hint="eastAsia" w:ascii="仿宋_GB2312" w:hAnsi="仿宋_GB2312" w:eastAsia="仿宋_GB2312" w:cs="仿宋_GB2312"/>
          <w:color w:val="auto"/>
          <w:sz w:val="21"/>
          <w:szCs w:val="21"/>
        </w:rPr>
        <w:t>人）</w:t>
      </w:r>
      <w:r>
        <w:rPr>
          <w:rFonts w:hint="eastAsia" w:ascii="仿宋_GB2312" w:hAnsi="仿宋_GB2312" w:eastAsia="仿宋_GB2312" w:cs="仿宋_GB2312"/>
          <w:color w:val="auto"/>
          <w:sz w:val="21"/>
          <w:szCs w:val="21"/>
          <w:lang w:eastAsia="zh-CN"/>
        </w:rPr>
        <w:t>：</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中华人民共和国民法典》及乙方的《投标文件》及《中标通知书》，甲、乙双方同意签订本合同。合同附件及本项目的招标文件、投标文件、《中标通知书》等均为本合同不可分割的部分。双方同意共同遵守如下条款：</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一、服务事项</w:t>
      </w:r>
    </w:p>
    <w:p>
      <w:pPr>
        <w:spacing w:line="4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甲方</w:t>
      </w:r>
      <w:r>
        <w:rPr>
          <w:rFonts w:hint="eastAsia" w:ascii="仿宋_GB2312" w:hAnsi="仿宋_GB2312" w:eastAsia="仿宋_GB2312" w:cs="仿宋_GB2312"/>
          <w:color w:val="auto"/>
          <w:sz w:val="21"/>
          <w:szCs w:val="21"/>
        </w:rPr>
        <w:t>拟起诉某电子产品贸易项目采购方，现</w:t>
      </w:r>
      <w:r>
        <w:rPr>
          <w:rFonts w:hint="eastAsia" w:ascii="仿宋_GB2312" w:hAnsi="仿宋_GB2312" w:eastAsia="仿宋_GB2312" w:cs="仿宋_GB2312"/>
          <w:color w:val="auto"/>
          <w:sz w:val="21"/>
          <w:szCs w:val="21"/>
          <w:lang w:val="en-US" w:eastAsia="zh-CN"/>
        </w:rPr>
        <w:t>乙方</w:t>
      </w:r>
      <w:r>
        <w:rPr>
          <w:rFonts w:hint="eastAsia" w:ascii="仿宋_GB2312" w:hAnsi="仿宋_GB2312" w:eastAsia="仿宋_GB2312" w:cs="仿宋_GB2312"/>
          <w:color w:val="auto"/>
          <w:sz w:val="21"/>
          <w:szCs w:val="21"/>
        </w:rPr>
        <w:t>代理如下事项：</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项目诉讼法律服务：拟起诉项目采购方的一审、二审（如有）、再审（如有）、执行程序（如有）、执行异议（如有）、项目采购方反诉或另诉案件的一审、二审（如有）、再审（如有）、执行程序（如有）、执行异议（如有）；</w:t>
      </w:r>
    </w:p>
    <w:p>
      <w:pPr>
        <w:spacing w:line="400" w:lineRule="exact"/>
        <w:ind w:firstLine="420" w:firstLineChars="200"/>
        <w:rPr>
          <w:rFonts w:hint="eastAsia" w:ascii="仿宋" w:hAnsi="仿宋" w:eastAsia="仿宋" w:cs="仿宋"/>
          <w:b/>
          <w:bCs w:val="0"/>
          <w:sz w:val="28"/>
          <w:szCs w:val="28"/>
        </w:rPr>
      </w:pPr>
      <w:r>
        <w:rPr>
          <w:rFonts w:hint="eastAsia" w:ascii="仿宋_GB2312" w:hAnsi="仿宋_GB2312" w:eastAsia="仿宋_GB2312" w:cs="仿宋_GB2312"/>
          <w:color w:val="auto"/>
          <w:sz w:val="21"/>
          <w:szCs w:val="21"/>
        </w:rPr>
        <w:t>2.过程法律服务：收集、梳理项目资料，积极响应</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需求，出具法律意见书；协助</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进行商务谈判，参与处理项目纠纷，指导处理涉法事务；起草和审查项目相关文书，参与和指导债权催收；对项目采购方财产、股权等资信情况开展尽职调查，出具调查报告；对查询到的资产进行诉讼保全；根据</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需求，提供项目相关的</w:t>
      </w:r>
      <w:r>
        <w:rPr>
          <w:rFonts w:hint="eastAsia" w:ascii="仿宋_GB2312" w:hAnsi="仿宋_GB2312" w:eastAsia="仿宋_GB2312" w:cs="仿宋_GB2312"/>
          <w:color w:val="auto"/>
          <w:sz w:val="21"/>
          <w:szCs w:val="21"/>
          <w:lang w:eastAsia="zh-CN"/>
        </w:rPr>
        <w:t>法</w:t>
      </w:r>
      <w:r>
        <w:rPr>
          <w:rFonts w:hint="eastAsia" w:ascii="仿宋_GB2312" w:hAnsi="仿宋_GB2312" w:eastAsia="仿宋_GB2312" w:cs="仿宋_GB2312"/>
          <w:color w:val="auto"/>
          <w:sz w:val="21"/>
          <w:szCs w:val="21"/>
        </w:rPr>
        <w:t>律服务。</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二、合同期限</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自合同签订之日起至拟起诉项目采购方的一审、二审（如有）、再审（如有）、执行程序（如有）、执行异议（如有）、项目采购方反诉或另诉案件的一审、二审（如有）、再审（如有）、执行程序（如有）、执行异议（如有）等全部诉讼活动终结止。</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三、服务团队与服务要求</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被委托</w:t>
      </w:r>
      <w:r>
        <w:rPr>
          <w:rFonts w:hint="eastAsia" w:ascii="仿宋_GB2312" w:hAnsi="仿宋_GB2312" w:eastAsia="仿宋_GB2312" w:cs="仿宋_GB2312"/>
          <w:color w:val="auto"/>
          <w:sz w:val="21"/>
          <w:szCs w:val="21"/>
        </w:rPr>
        <w:t>人指派</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为甲方服务，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是本项目主办律师，</w:t>
      </w:r>
      <w:r>
        <w:rPr>
          <w:rFonts w:hint="eastAsia" w:ascii="仿宋_GB2312" w:hAnsi="仿宋_GB2312" w:eastAsia="仿宋_GB2312" w:cs="仿宋_GB2312"/>
          <w:color w:val="auto"/>
          <w:sz w:val="21"/>
          <w:szCs w:val="21"/>
          <w:lang w:val="en-US" w:eastAsia="zh-CN"/>
        </w:rPr>
        <w:t>并指派【】等律师作为本项目协办律师。</w:t>
      </w:r>
      <w:r>
        <w:rPr>
          <w:rFonts w:hint="eastAsia" w:ascii="仿宋_GB2312" w:hAnsi="仿宋_GB2312" w:eastAsia="仿宋_GB2312" w:cs="仿宋_GB2312"/>
          <w:color w:val="auto"/>
          <w:sz w:val="21"/>
          <w:szCs w:val="21"/>
        </w:rPr>
        <w:t>诉讼每次庭审全程由主办律师本人出庭，主办律师必须参与服务全过程；非经</w:t>
      </w:r>
      <w:r>
        <w:rPr>
          <w:rFonts w:hint="eastAsia" w:ascii="仿宋_GB2312" w:hAnsi="仿宋_GB2312" w:eastAsia="仿宋_GB2312" w:cs="仿宋_GB2312"/>
          <w:color w:val="auto"/>
          <w:sz w:val="21"/>
          <w:szCs w:val="21"/>
          <w:lang w:val="en-US" w:eastAsia="zh-CN"/>
        </w:rPr>
        <w:t>委托</w:t>
      </w:r>
      <w:r>
        <w:rPr>
          <w:rFonts w:hint="eastAsia" w:ascii="仿宋_GB2312" w:hAnsi="仿宋_GB2312" w:eastAsia="仿宋_GB2312" w:cs="仿宋_GB2312"/>
          <w:color w:val="auto"/>
          <w:sz w:val="21"/>
          <w:szCs w:val="21"/>
        </w:rPr>
        <w:t>人书面同意，</w:t>
      </w:r>
      <w:r>
        <w:rPr>
          <w:rFonts w:hint="eastAsia" w:ascii="仿宋_GB2312" w:hAnsi="仿宋_GB2312" w:eastAsia="仿宋_GB2312" w:cs="仿宋_GB2312"/>
          <w:color w:val="auto"/>
          <w:sz w:val="21"/>
          <w:szCs w:val="21"/>
          <w:lang w:val="en-US" w:eastAsia="zh-CN"/>
        </w:rPr>
        <w:t>被委托</w:t>
      </w:r>
      <w:r>
        <w:rPr>
          <w:rFonts w:hint="eastAsia" w:ascii="仿宋_GB2312" w:hAnsi="仿宋_GB2312" w:eastAsia="仿宋_GB2312" w:cs="仿宋_GB2312"/>
          <w:color w:val="auto"/>
          <w:sz w:val="21"/>
          <w:szCs w:val="21"/>
        </w:rPr>
        <w:t>人不得擅自变更主办律师。</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1.指派的律师服务团队在提供服务过程中应当及时向</w:t>
      </w:r>
      <w:r>
        <w:rPr>
          <w:rFonts w:hint="eastAsia" w:ascii="仿宋_GB2312" w:hAnsi="仿宋_GB2312" w:eastAsia="仿宋_GB2312" w:cs="仿宋_GB2312"/>
          <w:color w:val="auto"/>
          <w:sz w:val="21"/>
          <w:szCs w:val="21"/>
          <w:lang w:val="en-US" w:eastAsia="zh-CN"/>
        </w:rPr>
        <w:t>委托</w:t>
      </w:r>
      <w:r>
        <w:rPr>
          <w:rFonts w:hint="eastAsia" w:ascii="仿宋_GB2312" w:hAnsi="仿宋_GB2312" w:eastAsia="仿宋_GB2312" w:cs="仿宋_GB2312"/>
          <w:color w:val="auto"/>
          <w:sz w:val="21"/>
          <w:szCs w:val="21"/>
        </w:rPr>
        <w:t>人、相关部门和单位调取案件所必需的证据；</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2.指派的律师团队在提供服务过程中需制定相应的诉讼策略和诉讼方案，如：诉讼代理方案中案件概况、代理思路、案件重点、难点、风险点、应诉策略、进度安排、组织措施等；</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3.指派的律师团队在代为诉讼的同时应</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的要求需协助</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妥善处理与诉讼相关纠纷；</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4.指派的律师团队应当以其依据法律作出的专业判断，向</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进行法律风险提示，尽最大努力维护</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的合法利益；</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5.代理期间，将拟定的包括但不限于代理方案、证据目录、质证意见、代理意见等交</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审阅。</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r>
        <w:rPr>
          <w:rFonts w:hint="eastAsia" w:ascii="仿宋_GB2312" w:hAnsi="仿宋_GB2312" w:eastAsia="仿宋_GB2312" w:cs="仿宋_GB2312"/>
          <w:color w:val="auto"/>
          <w:sz w:val="21"/>
          <w:szCs w:val="21"/>
          <w:lang w:val="en-US" w:eastAsia="zh-CN"/>
        </w:rPr>
        <w:t>被委托</w:t>
      </w:r>
      <w:r>
        <w:rPr>
          <w:rFonts w:hint="eastAsia" w:ascii="仿宋_GB2312" w:hAnsi="仿宋_GB2312" w:eastAsia="仿宋_GB2312" w:cs="仿宋_GB2312"/>
          <w:color w:val="auto"/>
          <w:sz w:val="21"/>
          <w:szCs w:val="21"/>
        </w:rPr>
        <w:t>人应当根据审判机关的要求，及时提交证据，按时参加审理活动并应及时向</w:t>
      </w:r>
      <w:r>
        <w:rPr>
          <w:rFonts w:hint="eastAsia" w:ascii="仿宋_GB2312" w:hAnsi="仿宋_GB2312" w:eastAsia="仿宋_GB2312" w:cs="仿宋_GB2312"/>
          <w:color w:val="auto"/>
          <w:sz w:val="21"/>
          <w:szCs w:val="21"/>
          <w:lang w:val="en-US" w:eastAsia="zh-CN"/>
        </w:rPr>
        <w:t>委托</w:t>
      </w:r>
      <w:r>
        <w:rPr>
          <w:rFonts w:hint="eastAsia" w:ascii="仿宋_GB2312" w:hAnsi="仿宋_GB2312" w:eastAsia="仿宋_GB2312" w:cs="仿宋_GB2312"/>
          <w:color w:val="auto"/>
          <w:sz w:val="21"/>
          <w:szCs w:val="21"/>
        </w:rPr>
        <w:t>人通报案件进展情况。</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7.指派的律师团队对委托办理的案件应当独立建档，并保存完整的工作记录，对涉及</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的原始证据、法律文件和财物应当妥善保管；</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8.指派的律师团队应当保守其在接受</w:t>
      </w:r>
      <w:r>
        <w:rPr>
          <w:rFonts w:hint="eastAsia" w:ascii="仿宋_GB2312" w:hAnsi="仿宋_GB2312" w:eastAsia="仿宋_GB2312" w:cs="仿宋_GB2312"/>
          <w:color w:val="auto"/>
          <w:sz w:val="21"/>
          <w:szCs w:val="21"/>
          <w:lang w:val="en-US" w:eastAsia="zh-CN"/>
        </w:rPr>
        <w:t>委托</w:t>
      </w:r>
      <w:r>
        <w:rPr>
          <w:rFonts w:hint="eastAsia" w:ascii="仿宋_GB2312" w:hAnsi="仿宋_GB2312" w:eastAsia="仿宋_GB2312" w:cs="仿宋_GB2312"/>
          <w:color w:val="auto"/>
          <w:sz w:val="21"/>
          <w:szCs w:val="21"/>
        </w:rPr>
        <w:t>人委托代理案件过程中知悉的国家秘密、商业秘密、个人隐私，以及</w:t>
      </w:r>
      <w:r>
        <w:rPr>
          <w:rFonts w:hint="eastAsia" w:ascii="仿宋_GB2312" w:hAnsi="仿宋_GB2312" w:eastAsia="仿宋_GB2312" w:cs="仿宋_GB2312"/>
          <w:color w:val="auto"/>
          <w:sz w:val="21"/>
          <w:szCs w:val="21"/>
          <w:lang w:val="en-US" w:eastAsia="zh-CN"/>
        </w:rPr>
        <w:t>委托</w:t>
      </w:r>
      <w:r>
        <w:rPr>
          <w:rFonts w:hint="eastAsia" w:ascii="仿宋_GB2312" w:hAnsi="仿宋_GB2312" w:eastAsia="仿宋_GB2312" w:cs="仿宋_GB2312"/>
          <w:color w:val="auto"/>
          <w:sz w:val="21"/>
          <w:szCs w:val="21"/>
        </w:rPr>
        <w:t>人明确表示不能对外公开的信息。</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四、服务费用及支付方式</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1.基础代理费：报价包括所有诉讼程序中的代理费、差旅费、利润、风险、税金等完成本项目所有费用，为</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万元。</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在签订合同且收到</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全额增值税专用发票后15日内支付全部基础代理费用。</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2.风险代理费：以本诉和反诉（或另行起诉）判决结果相品迭后</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实际回收到账金额为基数，风险代理费=报价比例*基数。项目采购方拖欠货款部分、未提货库存货值部分和未承担仓储费用部分分开计费，计费标准及支付条件如下：</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（1）项目采购方拖欠货款部分按照</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实际回收累计到账金额的百分比计算乙方风险代理费用，报价比例</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在收到项目采购方拖欠的货款、剩余库存货款和仓储费用且收到</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全额增值税专用发票后</w:t>
      </w:r>
      <w:r>
        <w:rPr>
          <w:rFonts w:hint="eastAsia" w:ascii="仿宋_GB2312" w:hAnsi="仿宋_GB2312" w:eastAsia="仿宋_GB2312" w:cs="仿宋_GB2312"/>
          <w:color w:val="auto"/>
          <w:sz w:val="21"/>
          <w:szCs w:val="21"/>
          <w:lang w:val="en-US" w:eastAsia="zh-CN"/>
        </w:rPr>
        <w:t>15</w:t>
      </w:r>
      <w:r>
        <w:rPr>
          <w:rFonts w:hint="eastAsia" w:ascii="仿宋_GB2312" w:hAnsi="仿宋_GB2312" w:eastAsia="仿宋_GB2312" w:cs="仿宋_GB2312"/>
          <w:color w:val="auto"/>
          <w:sz w:val="21"/>
          <w:szCs w:val="21"/>
        </w:rPr>
        <w:t>日内支付对应风险代理费用。</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3.本项目所涉服务费用总额限价</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万元，无论按照前述第1、2项计算的代理费金额是多少，</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承诺放弃超过</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万元的部分。</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在进行</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委托办理的法律事务过程中发生的诉讼费、仲裁费、保全费、鉴定费、公证费、公告费等费用，凭</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合法有效票据由</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实报实销。</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收款账户信息：</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账户名称：</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开户行：</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账号：</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行号：</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五、知识产权</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应保证所提供的服务或其任何一部分均不会侵犯任何第三方的专利权、商标权或著作权。</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六、甲方的权利和义务</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有权向</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了解案件进展情况和结果。</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2.全面、客观、真实地向</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介绍案件情况，及时向</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提供与案件有关的文件（复印件），并保证其真实、合法。（注：证据原件由</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自行保存，若确需交原件与承办律师，双方应办理各方签名的证据交接清单）</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3.根据本合同规定，按时向</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支付应付服务费用。</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4.国家法律、法规所规定由</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承担</w:t>
      </w:r>
      <w:r>
        <w:rPr>
          <w:rFonts w:hint="eastAsia" w:ascii="仿宋_GB2312" w:hAnsi="仿宋_GB2312" w:eastAsia="仿宋_GB2312" w:cs="仿宋_GB2312"/>
          <w:color w:val="auto"/>
          <w:sz w:val="21"/>
          <w:szCs w:val="21"/>
          <w:lang w:eastAsia="zh-CN"/>
        </w:rPr>
        <w:t>的其他</w:t>
      </w:r>
      <w:r>
        <w:rPr>
          <w:rFonts w:hint="eastAsia" w:ascii="仿宋_GB2312" w:hAnsi="仿宋_GB2312" w:eastAsia="仿宋_GB2312" w:cs="仿宋_GB2312"/>
          <w:color w:val="auto"/>
          <w:sz w:val="21"/>
          <w:szCs w:val="21"/>
        </w:rPr>
        <w:t>责任。</w:t>
      </w:r>
    </w:p>
    <w:p>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七、乙方的权利和义务</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1.对本合同规定的委托服务范围内的事项享有管理权及服务义务。</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2.根据本合同的规定向甲方收取相关服务费用。</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3.乙方律师工作上勤勉尽职，恪守律师职业道德和执业纪律，办案中严格遵循《律师办理民事诉讼案件规范》的规定。</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4.乙方律师应当以其依据法律作出的判断，向甲方进行法律风险提示；及时提交证据，按时出庭，应甲方要求通报案件进展情况。</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5.国家法律、法规所规定由乙方承担的其他责任。</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八、违约责任</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1.双方必须遵守本合同并执行合同中的各项规定，保证本合同的正常履行。</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九、不可抗力事件处理</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1.在合同有效期内，任何一方因不可抗力事件导致不能履行合同，则合同履行期可延长，其延长期与不可抗力影响期相同。</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2.不可抗力事件发生后，应立即通知对方，并寄送有关权威机构出具的证明。</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3.不可抗力事件延续</w:t>
      </w:r>
      <w:r>
        <w:rPr>
          <w:rFonts w:hint="eastAsia" w:ascii="仿宋_GB2312" w:hAnsi="仿宋_GB2312" w:eastAsia="仿宋_GB2312" w:cs="仿宋_GB2312"/>
          <w:color w:val="auto"/>
          <w:sz w:val="21"/>
          <w:szCs w:val="21"/>
          <w:lang w:val="en-US" w:eastAsia="zh-CN"/>
        </w:rPr>
        <w:t>120</w:t>
      </w:r>
      <w:r>
        <w:rPr>
          <w:rFonts w:hint="eastAsia" w:ascii="仿宋_GB2312" w:hAnsi="仿宋_GB2312" w:eastAsia="仿宋_GB2312" w:cs="仿宋_GB2312"/>
          <w:color w:val="auto"/>
          <w:sz w:val="21"/>
          <w:szCs w:val="21"/>
          <w:lang w:eastAsia="zh-CN"/>
        </w:rPr>
        <w:t>天以上，双方应通过友好协商，确定是否继续履行合同。</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十、解决合同纠纷的方式</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在执行本合同中发生的或与本合同有关的争端，双方应通过友好协商解决，协商不成，向</w:t>
      </w:r>
      <w:r>
        <w:rPr>
          <w:rFonts w:hint="eastAsia" w:ascii="仿宋_GB2312" w:hAnsi="仿宋_GB2312" w:eastAsia="仿宋_GB2312" w:cs="仿宋_GB2312"/>
          <w:color w:val="auto"/>
          <w:sz w:val="21"/>
          <w:szCs w:val="21"/>
          <w:lang w:val="en-US" w:eastAsia="zh-CN"/>
        </w:rPr>
        <w:t>甲方所在地法院提起诉讼</w:t>
      </w:r>
      <w:r>
        <w:rPr>
          <w:rFonts w:hint="eastAsia" w:ascii="仿宋_GB2312" w:hAnsi="仿宋_GB2312" w:eastAsia="仿宋_GB2312" w:cs="仿宋_GB2312"/>
          <w:color w:val="auto"/>
          <w:sz w:val="21"/>
          <w:szCs w:val="21"/>
          <w:lang w:eastAsia="zh-CN"/>
        </w:rPr>
        <w:t>。</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十一、合同生效</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1.合同经双方法定代表人或授权委托代理人签字并加盖单位公章后生效。</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2.合同执行中涉及合同金额和服务内容修改或补充的，须签订书面补充协议方可作为主合同不可分割的一部分。</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十二、其他</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1.如有未尽事宜，由双方依法订立补充合同。</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2.本合同一式</w:t>
      </w: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lang w:eastAsia="zh-CN"/>
        </w:rPr>
        <w:t>份，自双方签章之日起生效。甲方</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份，乙方</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份，具有同等法律效力。（</w:t>
      </w:r>
      <w:r>
        <w:rPr>
          <w:rFonts w:hint="eastAsia" w:ascii="仿宋_GB2312" w:hAnsi="仿宋_GB2312" w:eastAsia="仿宋_GB2312" w:cs="仿宋_GB2312"/>
          <w:color w:val="auto"/>
          <w:sz w:val="21"/>
          <w:szCs w:val="21"/>
          <w:lang w:val="en-US" w:eastAsia="zh-CN"/>
        </w:rPr>
        <w:t>以下无正文</w:t>
      </w:r>
      <w:r>
        <w:rPr>
          <w:rFonts w:hint="eastAsia" w:ascii="仿宋_GB2312" w:hAnsi="仿宋_GB2312" w:eastAsia="仿宋_GB2312" w:cs="仿宋_GB2312"/>
          <w:color w:val="auto"/>
          <w:sz w:val="21"/>
          <w:szCs w:val="21"/>
          <w:lang w:eastAsia="zh-CN"/>
        </w:rPr>
        <w:t>）</w:t>
      </w:r>
    </w:p>
    <w:p>
      <w:pPr>
        <w:ind w:left="5600" w:hanging="4200" w:hangingChars="2000"/>
        <w:rPr>
          <w:rFonts w:hint="eastAsia" w:ascii="仿宋" w:hAnsi="仿宋" w:eastAsia="仿宋" w:cs="仿宋"/>
          <w:b w:val="0"/>
          <w:bCs/>
          <w:sz w:val="21"/>
          <w:szCs w:val="21"/>
        </w:rPr>
      </w:pP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甲方（委托人）</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lang w:val="en-US" w:eastAsia="zh-CN"/>
        </w:rPr>
        <w:t xml:space="preserve">                 乙方（被委托人）</w:t>
      </w:r>
      <w:r>
        <w:rPr>
          <w:rFonts w:hint="eastAsia" w:ascii="仿宋_GB2312" w:hAnsi="仿宋_GB2312" w:eastAsia="仿宋_GB2312" w:cs="仿宋_GB2312"/>
          <w:color w:val="auto"/>
          <w:sz w:val="21"/>
          <w:szCs w:val="21"/>
          <w:lang w:eastAsia="zh-CN"/>
        </w:rPr>
        <w:t>：</w:t>
      </w:r>
    </w:p>
    <w:p>
      <w:pPr>
        <w:spacing w:line="40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 xml:space="preserve">法定代表人（授权代表）：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法定代表人（授权代表）：</w:t>
      </w:r>
    </w:p>
    <w:p>
      <w:pPr>
        <w:spacing w:line="40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地 址：</w:t>
      </w:r>
      <w:r>
        <w:rPr>
          <w:rFonts w:hint="eastAsia" w:ascii="仿宋_GB2312" w:hAnsi="仿宋_GB2312" w:eastAsia="仿宋_GB2312" w:cs="仿宋_GB2312"/>
          <w:color w:val="auto"/>
          <w:sz w:val="21"/>
          <w:szCs w:val="21"/>
          <w:lang w:val="en-US" w:eastAsia="zh-CN"/>
        </w:rPr>
        <w:t xml:space="preserve">                           地 址：</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 xml:space="preserve">开户银行：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开户银行：</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账 号：</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账 号：</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 xml:space="preserve">电 话：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电 话：</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 xml:space="preserve">传 真：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传 真：</w:t>
      </w:r>
    </w:p>
    <w:p>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签约日期：</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年</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月</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 xml:space="preserve">日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签约日期：</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年</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月</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日</w:t>
      </w:r>
    </w:p>
    <w:p>
      <w:pPr>
        <w:spacing w:after="0" w:line="360" w:lineRule="auto"/>
        <w:ind w:firstLine="420" w:firstLineChars="200"/>
        <w:rPr>
          <w:rFonts w:ascii="宋体" w:hAnsi="宋体" w:eastAsia="宋体" w:cs="宋体"/>
          <w:color w:val="auto"/>
          <w:sz w:val="21"/>
          <w:szCs w:val="21"/>
          <w:highlight w:val="none"/>
        </w:rPr>
      </w:pPr>
    </w:p>
    <w:p>
      <w:pPr>
        <w:rPr>
          <w:rFonts w:ascii="宋体" w:hAnsi="宋体" w:eastAsia="宋体" w:cs="宋体"/>
          <w:b/>
          <w:bCs/>
          <w:color w:val="auto"/>
          <w:sz w:val="40"/>
          <w:szCs w:val="21"/>
          <w:highlight w:val="none"/>
        </w:rPr>
      </w:pPr>
      <w:bookmarkStart w:id="33" w:name="_Toc950"/>
      <w:bookmarkStart w:id="34" w:name="_Toc16485"/>
      <w:r>
        <w:rPr>
          <w:rFonts w:ascii="宋体" w:hAnsi="宋体" w:eastAsia="宋体" w:cs="宋体"/>
          <w:b/>
          <w:bCs/>
          <w:color w:val="auto"/>
          <w:sz w:val="40"/>
          <w:szCs w:val="21"/>
          <w:highlight w:val="none"/>
        </w:rPr>
        <w:br w:type="page"/>
      </w:r>
    </w:p>
    <w:p>
      <w:pPr>
        <w:pStyle w:val="4"/>
        <w:spacing w:after="0" w:line="360" w:lineRule="auto"/>
        <w:ind w:left="0" w:right="0" w:firstLine="0"/>
        <w:rPr>
          <w:rFonts w:hint="eastAsia" w:ascii="黑体" w:hAnsi="黑体" w:eastAsia="黑体" w:cs="黑体"/>
          <w:color w:val="auto"/>
          <w:sz w:val="28"/>
          <w:szCs w:val="21"/>
          <w:highlight w:val="none"/>
        </w:rPr>
      </w:pPr>
      <w:r>
        <w:rPr>
          <w:rFonts w:hint="eastAsia" w:ascii="黑体" w:hAnsi="黑体" w:eastAsia="黑体" w:cs="黑体"/>
          <w:b/>
          <w:bCs/>
          <w:color w:val="auto"/>
          <w:sz w:val="40"/>
          <w:szCs w:val="21"/>
          <w:highlight w:val="none"/>
        </w:rPr>
        <w:t xml:space="preserve">第五章 </w:t>
      </w:r>
      <w:r>
        <w:rPr>
          <w:rFonts w:hint="eastAsia" w:ascii="黑体" w:hAnsi="黑体" w:eastAsia="黑体" w:cs="黑体"/>
          <w:b/>
          <w:bCs/>
          <w:color w:val="auto"/>
          <w:sz w:val="40"/>
          <w:szCs w:val="21"/>
          <w:highlight w:val="none"/>
          <w:lang w:val="en-US" w:eastAsia="zh-CN"/>
        </w:rPr>
        <w:t>比选响应</w:t>
      </w:r>
      <w:r>
        <w:rPr>
          <w:rFonts w:hint="eastAsia" w:ascii="黑体" w:hAnsi="黑体" w:eastAsia="黑体" w:cs="黑体"/>
          <w:b/>
          <w:bCs/>
          <w:color w:val="auto"/>
          <w:sz w:val="40"/>
          <w:szCs w:val="21"/>
          <w:highlight w:val="none"/>
        </w:rPr>
        <w:t>文件格式</w:t>
      </w:r>
      <w:bookmarkEnd w:id="33"/>
      <w:bookmarkEnd w:id="34"/>
      <w:r>
        <w:rPr>
          <w:rFonts w:hint="eastAsia" w:ascii="黑体" w:hAnsi="黑体" w:eastAsia="黑体" w:cs="黑体"/>
          <w:b/>
          <w:bCs/>
          <w:color w:val="auto"/>
          <w:sz w:val="40"/>
          <w:szCs w:val="21"/>
          <w:highlight w:val="none"/>
        </w:rPr>
        <w:t xml:space="preserve"> </w:t>
      </w:r>
    </w:p>
    <w:p>
      <w:pPr>
        <w:spacing w:after="240" w:line="360" w:lineRule="auto"/>
        <w:ind w:firstLine="883"/>
        <w:jc w:val="center"/>
        <w:rPr>
          <w:rFonts w:ascii="宋体" w:hAnsi="宋体" w:eastAsia="宋体" w:cs="Times New Roman"/>
          <w:b/>
          <w:color w:val="auto"/>
          <w:kern w:val="0"/>
          <w:sz w:val="44"/>
          <w:szCs w:val="28"/>
          <w:highlight w:val="none"/>
        </w:rPr>
      </w:pPr>
    </w:p>
    <w:p>
      <w:pPr>
        <w:spacing w:after="0" w:line="360" w:lineRule="auto"/>
        <w:jc w:val="center"/>
        <w:rPr>
          <w:rFonts w:hint="eastAsia" w:ascii="方正小标宋简体" w:hAnsi="方正小标宋简体" w:eastAsia="方正小标宋简体" w:cs="方正小标宋简体"/>
          <w:b w:val="0"/>
          <w:bCs/>
          <w:color w:val="auto"/>
          <w:kern w:val="0"/>
          <w:sz w:val="44"/>
          <w:szCs w:val="28"/>
          <w:highlight w:val="none"/>
          <w:u w:val="none"/>
          <w:lang w:val="en-US" w:eastAsia="zh-CN"/>
        </w:rPr>
      </w:pPr>
      <w:r>
        <w:rPr>
          <w:rFonts w:hint="eastAsia" w:ascii="方正小标宋简体" w:hAnsi="方正小标宋简体" w:eastAsia="方正小标宋简体" w:cs="方正小标宋简体"/>
          <w:b w:val="0"/>
          <w:bCs/>
          <w:color w:val="auto"/>
          <w:kern w:val="0"/>
          <w:sz w:val="44"/>
          <w:szCs w:val="28"/>
          <w:highlight w:val="none"/>
          <w:u w:val="none"/>
          <w:lang w:val="en-US" w:eastAsia="zh-CN"/>
        </w:rPr>
        <w:t>四川蜀物兴川物流发展有限公司</w:t>
      </w:r>
    </w:p>
    <w:p>
      <w:pPr>
        <w:spacing w:after="0" w:line="360" w:lineRule="auto"/>
        <w:jc w:val="center"/>
        <w:rPr>
          <w:rFonts w:ascii="宋体" w:hAnsi="宋体" w:eastAsia="宋体" w:cs="Times New Roman"/>
          <w:b w:val="0"/>
          <w:bCs/>
          <w:color w:val="auto"/>
          <w:kern w:val="0"/>
          <w:sz w:val="44"/>
          <w:szCs w:val="28"/>
          <w:highlight w:val="none"/>
          <w:u w:val="none"/>
        </w:rPr>
      </w:pPr>
      <w:r>
        <w:rPr>
          <w:rFonts w:hint="eastAsia" w:ascii="方正小标宋简体" w:hAnsi="方正小标宋简体" w:eastAsia="方正小标宋简体" w:cs="方正小标宋简体"/>
          <w:b w:val="0"/>
          <w:bCs/>
          <w:color w:val="auto"/>
          <w:kern w:val="0"/>
          <w:sz w:val="44"/>
          <w:szCs w:val="28"/>
          <w:highlight w:val="none"/>
          <w:u w:val="none"/>
          <w:lang w:val="en-US" w:eastAsia="zh-CN"/>
        </w:rPr>
        <w:t>钢材买卖合同纠纷案法律专项服务采购项目</w:t>
      </w:r>
    </w:p>
    <w:p>
      <w:pPr>
        <w:adjustRightInd w:val="0"/>
        <w:snapToGrid w:val="0"/>
        <w:spacing w:after="0" w:line="360" w:lineRule="auto"/>
        <w:ind w:firstLine="883"/>
        <w:jc w:val="center"/>
        <w:rPr>
          <w:rFonts w:ascii="宋体" w:hAnsi="宋体" w:eastAsia="宋体" w:cs="Times New Roman"/>
          <w:b/>
          <w:bCs/>
          <w:color w:val="auto"/>
          <w:kern w:val="0"/>
          <w:sz w:val="44"/>
          <w:szCs w:val="28"/>
          <w:highlight w:val="none"/>
        </w:rPr>
      </w:pPr>
    </w:p>
    <w:p>
      <w:pPr>
        <w:adjustRightInd w:val="0"/>
        <w:snapToGrid w:val="0"/>
        <w:spacing w:after="0" w:line="360" w:lineRule="auto"/>
        <w:jc w:val="center"/>
        <w:rPr>
          <w:rFonts w:hint="eastAsia" w:ascii="方正小标宋简体" w:hAnsi="方正小标宋简体" w:eastAsia="方正小标宋简体" w:cs="方正小标宋简体"/>
          <w:b w:val="0"/>
          <w:bCs w:val="0"/>
          <w:color w:val="auto"/>
          <w:kern w:val="0"/>
          <w:sz w:val="52"/>
          <w:szCs w:val="28"/>
          <w:highlight w:val="none"/>
        </w:rPr>
      </w:pPr>
      <w:r>
        <w:rPr>
          <w:rFonts w:hint="eastAsia" w:ascii="方正小标宋简体" w:hAnsi="方正小标宋简体" w:eastAsia="方正小标宋简体" w:cs="方正小标宋简体"/>
          <w:b w:val="0"/>
          <w:bCs w:val="0"/>
          <w:color w:val="auto"/>
          <w:kern w:val="0"/>
          <w:sz w:val="52"/>
          <w:szCs w:val="28"/>
          <w:highlight w:val="none"/>
          <w:lang w:val="en-US" w:eastAsia="zh-CN"/>
        </w:rPr>
        <w:t>比选响应</w:t>
      </w:r>
      <w:r>
        <w:rPr>
          <w:rFonts w:hint="eastAsia" w:ascii="方正小标宋简体" w:hAnsi="方正小标宋简体" w:eastAsia="方正小标宋简体" w:cs="方正小标宋简体"/>
          <w:b w:val="0"/>
          <w:bCs w:val="0"/>
          <w:color w:val="auto"/>
          <w:kern w:val="0"/>
          <w:sz w:val="52"/>
          <w:szCs w:val="28"/>
          <w:highlight w:val="none"/>
        </w:rPr>
        <w:t>文件</w:t>
      </w:r>
    </w:p>
    <w:p>
      <w:pPr>
        <w:widowControl w:val="0"/>
        <w:spacing w:after="0" w:line="360" w:lineRule="auto"/>
        <w:ind w:right="823" w:rightChars="374"/>
        <w:jc w:val="center"/>
        <w:rPr>
          <w:rFonts w:hint="eastAsia" w:ascii="方正小标宋简体" w:hAnsi="方正小标宋简体" w:eastAsia="方正小标宋简体" w:cs="方正小标宋简体"/>
          <w:b w:val="0"/>
          <w:bCs w:val="0"/>
          <w:color w:val="auto"/>
          <w:kern w:val="0"/>
          <w:sz w:val="28"/>
          <w:szCs w:val="28"/>
          <w:highlight w:val="none"/>
          <w:u w:val="single"/>
        </w:rPr>
      </w:pPr>
      <w:r>
        <w:rPr>
          <w:rFonts w:hint="eastAsia" w:ascii="方正小标宋简体" w:hAnsi="方正小标宋简体" w:eastAsia="方正小标宋简体" w:cs="方正小标宋简体"/>
          <w:b w:val="0"/>
          <w:bCs w:val="0"/>
          <w:color w:val="auto"/>
          <w:kern w:val="0"/>
          <w:sz w:val="28"/>
          <w:szCs w:val="28"/>
          <w:highlight w:val="none"/>
          <w:u w:val="single"/>
        </w:rPr>
        <w:t xml:space="preserve">       </w:t>
      </w:r>
    </w:p>
    <w:p>
      <w:pPr>
        <w:widowControl w:val="0"/>
        <w:spacing w:after="0" w:line="360" w:lineRule="auto"/>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（正本/副本）</w:t>
      </w:r>
    </w:p>
    <w:p>
      <w:pPr>
        <w:adjustRightInd w:val="0"/>
        <w:snapToGrid w:val="0"/>
        <w:spacing w:after="0" w:line="360" w:lineRule="auto"/>
        <w:jc w:val="center"/>
        <w:rPr>
          <w:rFonts w:ascii="宋体" w:hAnsi="宋体" w:eastAsia="宋体" w:cs="Times New Roman"/>
          <w:bCs/>
          <w:color w:val="auto"/>
          <w:kern w:val="0"/>
          <w:sz w:val="28"/>
          <w:szCs w:val="28"/>
          <w:highlight w:val="none"/>
        </w:rPr>
      </w:pPr>
    </w:p>
    <w:p>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pPr>
        <w:pStyle w:val="14"/>
        <w:rPr>
          <w:highlight w:val="none"/>
        </w:rPr>
      </w:pPr>
    </w:p>
    <w:p>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pPr>
        <w:spacing w:after="0" w:line="360" w:lineRule="auto"/>
        <w:jc w:val="center"/>
        <w:rPr>
          <w:rFonts w:ascii="宋体" w:hAnsi="宋体" w:eastAsia="宋体" w:cs="Times New Roman"/>
          <w:bCs/>
          <w:color w:val="auto"/>
          <w:kern w:val="0"/>
          <w:sz w:val="28"/>
          <w:szCs w:val="28"/>
          <w:highlight w:val="none"/>
        </w:rPr>
      </w:pPr>
      <w:r>
        <w:rPr>
          <w:rFonts w:hint="eastAsia" w:ascii="宋体" w:hAnsi="宋体" w:eastAsia="宋体" w:cs="Times New Roman"/>
          <w:bCs/>
          <w:color w:val="auto"/>
          <w:kern w:val="0"/>
          <w:sz w:val="28"/>
          <w:szCs w:val="28"/>
          <w:highlight w:val="none"/>
          <w:lang w:val="en-US" w:eastAsia="zh-CN"/>
        </w:rPr>
        <w:t>参选</w:t>
      </w:r>
      <w:r>
        <w:rPr>
          <w:rFonts w:hint="eastAsia" w:ascii="宋体" w:hAnsi="宋体" w:eastAsia="宋体" w:cs="Times New Roman"/>
          <w:bCs/>
          <w:color w:val="auto"/>
          <w:kern w:val="0"/>
          <w:sz w:val="28"/>
          <w:szCs w:val="28"/>
          <w:highlight w:val="none"/>
        </w:rPr>
        <w:t>人：</w:t>
      </w:r>
      <w:r>
        <w:rPr>
          <w:rFonts w:hint="eastAsia" w:ascii="宋体" w:hAnsi="宋体" w:eastAsia="宋体" w:cs="Times New Roman"/>
          <w:bCs/>
          <w:color w:val="auto"/>
          <w:kern w:val="0"/>
          <w:sz w:val="28"/>
          <w:szCs w:val="28"/>
          <w:highlight w:val="none"/>
          <w:u w:val="single"/>
        </w:rPr>
        <w:t>（</w:t>
      </w:r>
      <w:r>
        <w:rPr>
          <w:rFonts w:hint="eastAsia" w:ascii="宋体" w:hAnsi="宋体" w:eastAsia="宋体" w:cs="Times New Roman"/>
          <w:bCs/>
          <w:color w:val="auto"/>
          <w:kern w:val="0"/>
          <w:sz w:val="28"/>
          <w:szCs w:val="28"/>
          <w:highlight w:val="none"/>
          <w:u w:val="single"/>
          <w:lang w:val="en-US" w:eastAsia="zh-CN"/>
        </w:rPr>
        <w:t>参选人</w:t>
      </w:r>
      <w:r>
        <w:rPr>
          <w:rFonts w:hint="eastAsia" w:ascii="宋体" w:hAnsi="宋体" w:eastAsia="宋体" w:cs="Times New Roman"/>
          <w:bCs/>
          <w:color w:val="auto"/>
          <w:kern w:val="0"/>
          <w:sz w:val="28"/>
          <w:szCs w:val="28"/>
          <w:highlight w:val="none"/>
          <w:u w:val="single"/>
        </w:rPr>
        <w:t>全称）</w:t>
      </w:r>
      <w:r>
        <w:rPr>
          <w:rFonts w:hint="eastAsia" w:ascii="宋体" w:hAnsi="宋体" w:eastAsia="宋体" w:cs="Times New Roman"/>
          <w:bCs/>
          <w:color w:val="auto"/>
          <w:kern w:val="0"/>
          <w:sz w:val="28"/>
          <w:szCs w:val="28"/>
          <w:highlight w:val="none"/>
        </w:rPr>
        <w:t>（盖章）</w:t>
      </w:r>
    </w:p>
    <w:p>
      <w:pPr>
        <w:adjustRightInd w:val="0"/>
        <w:snapToGrid w:val="0"/>
        <w:spacing w:after="0" w:line="360" w:lineRule="auto"/>
        <w:jc w:val="center"/>
        <w:rPr>
          <w:rFonts w:ascii="宋体" w:hAnsi="宋体" w:eastAsia="宋体" w:cs="Times New Roman"/>
          <w:bCs/>
          <w:color w:val="auto"/>
          <w:kern w:val="0"/>
          <w:sz w:val="28"/>
          <w:szCs w:val="28"/>
          <w:highlight w:val="none"/>
          <w:u w:val="single"/>
        </w:rPr>
      </w:pPr>
      <w:r>
        <w:rPr>
          <w:rFonts w:hint="eastAsia" w:ascii="宋体" w:hAnsi="宋体" w:eastAsia="宋体" w:cs="Times New Roman"/>
          <w:bCs/>
          <w:color w:val="auto"/>
          <w:kern w:val="0"/>
          <w:sz w:val="28"/>
          <w:szCs w:val="28"/>
          <w:highlight w:val="none"/>
          <w:lang w:eastAsia="zh-CN"/>
        </w:rPr>
        <w:t>单位负责</w:t>
      </w:r>
      <w:r>
        <w:rPr>
          <w:rFonts w:hint="eastAsia" w:ascii="宋体" w:hAnsi="宋体" w:eastAsia="宋体" w:cs="Times New Roman"/>
          <w:bCs/>
          <w:color w:val="auto"/>
          <w:kern w:val="0"/>
          <w:sz w:val="28"/>
          <w:szCs w:val="28"/>
          <w:highlight w:val="none"/>
        </w:rPr>
        <w:t>人或其委托代理人：</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（签字或盖章）</w:t>
      </w:r>
    </w:p>
    <w:p>
      <w:pPr>
        <w:pStyle w:val="5"/>
        <w:spacing w:after="645" w:line="267" w:lineRule="auto"/>
        <w:ind w:right="340" w:rightChars="0"/>
        <w:jc w:val="center"/>
        <w:rPr>
          <w:rFonts w:hint="eastAsia" w:ascii="宋体" w:hAnsi="宋体" w:eastAsia="宋体" w:cs="Times New Roman"/>
          <w:bCs/>
          <w:color w:val="auto"/>
          <w:kern w:val="0"/>
          <w:sz w:val="28"/>
          <w:szCs w:val="28"/>
          <w:highlight w:val="none"/>
        </w:rPr>
        <w:sectPr>
          <w:footerReference r:id="rId9" w:type="default"/>
          <w:pgSz w:w="12240" w:h="15840"/>
          <w:pgMar w:top="1440" w:right="1440" w:bottom="1440" w:left="1440" w:header="720" w:footer="720" w:gutter="0"/>
          <w:cols w:space="720" w:num="1"/>
        </w:sectPr>
      </w:pPr>
      <w:r>
        <w:rPr>
          <w:rFonts w:hint="eastAsia" w:ascii="宋体" w:hAnsi="宋体" w:eastAsia="宋体" w:cs="Times New Roman"/>
          <w:bCs/>
          <w:color w:val="auto"/>
          <w:kern w:val="0"/>
          <w:sz w:val="28"/>
          <w:szCs w:val="28"/>
          <w:highlight w:val="none"/>
          <w:u w:val="single"/>
          <w:lang w:val="en-US" w:eastAsia="zh-CN"/>
        </w:rPr>
        <w:t xml:space="preserve">     </w:t>
      </w:r>
      <w:r>
        <w:rPr>
          <w:rFonts w:hint="eastAsia" w:ascii="宋体" w:hAnsi="宋体" w:eastAsia="宋体" w:cs="Times New Roman"/>
          <w:bCs/>
          <w:color w:val="auto"/>
          <w:kern w:val="0"/>
          <w:sz w:val="28"/>
          <w:szCs w:val="28"/>
          <w:highlight w:val="none"/>
        </w:rPr>
        <w:t>年</w:t>
      </w:r>
      <w:r>
        <w:rPr>
          <w:rFonts w:hint="eastAsia" w:ascii="宋体" w:hAnsi="宋体" w:eastAsia="宋体" w:cs="Times New Roman"/>
          <w:bCs/>
          <w:color w:val="auto"/>
          <w:kern w:val="0"/>
          <w:sz w:val="28"/>
          <w:szCs w:val="28"/>
          <w:highlight w:val="none"/>
          <w:u w:val="single"/>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lang w:val="en-US" w:eastAsia="zh-CN"/>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月</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lang w:val="en-US" w:eastAsia="zh-CN"/>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日</w:t>
      </w:r>
      <w:bookmarkStart w:id="35" w:name="_Toc128141273"/>
      <w:bookmarkStart w:id="36" w:name="_Toc3485"/>
      <w:bookmarkStart w:id="37" w:name="_Toc15260"/>
    </w:p>
    <w:p>
      <w:pPr>
        <w:pStyle w:val="6"/>
        <w:rPr>
          <w:highlight w:val="none"/>
        </w:rPr>
      </w:pPr>
    </w:p>
    <w:p>
      <w:pPr>
        <w:pStyle w:val="5"/>
        <w:spacing w:after="645" w:line="267" w:lineRule="auto"/>
        <w:ind w:right="4215"/>
        <w:jc w:val="right"/>
        <w:rPr>
          <w:rFonts w:ascii="宋体" w:hAnsi="宋体" w:eastAsia="宋体"/>
          <w:b/>
          <w:bCs/>
          <w:color w:val="auto"/>
          <w:highlight w:val="none"/>
        </w:rPr>
      </w:pPr>
      <w:r>
        <w:rPr>
          <w:rFonts w:ascii="宋体" w:hAnsi="宋体" w:eastAsia="宋体"/>
          <w:b/>
          <w:bCs/>
          <w:color w:val="auto"/>
          <w:sz w:val="32"/>
          <w:highlight w:val="none"/>
        </w:rPr>
        <w:t>目</w:t>
      </w:r>
      <w:r>
        <w:rPr>
          <w:rFonts w:hint="eastAsia" w:ascii="宋体" w:hAnsi="宋体" w:eastAsia="宋体"/>
          <w:b/>
          <w:bCs/>
          <w:color w:val="auto"/>
          <w:sz w:val="32"/>
          <w:highlight w:val="none"/>
        </w:rPr>
        <w:t xml:space="preserve"> </w:t>
      </w:r>
      <w:r>
        <w:rPr>
          <w:rFonts w:ascii="宋体" w:hAnsi="宋体" w:eastAsia="宋体"/>
          <w:b/>
          <w:bCs/>
          <w:color w:val="auto"/>
          <w:sz w:val="32"/>
          <w:highlight w:val="none"/>
        </w:rPr>
        <w:t>录</w:t>
      </w:r>
      <w:bookmarkEnd w:id="35"/>
      <w:bookmarkEnd w:id="36"/>
      <w:bookmarkEnd w:id="37"/>
    </w:p>
    <w:p>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比选申请函</w:t>
      </w:r>
      <w:r>
        <w:rPr>
          <w:rFonts w:hint="eastAsia" w:ascii="宋体" w:hAnsi="宋体" w:eastAsia="宋体" w:cs="宋体"/>
          <w:color w:val="auto"/>
          <w:sz w:val="24"/>
          <w:szCs w:val="24"/>
          <w:highlight w:val="none"/>
        </w:rPr>
        <w:t>…………………………………………………………………………（）</w:t>
      </w:r>
    </w:p>
    <w:p>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单位负责</w:t>
      </w:r>
      <w:r>
        <w:rPr>
          <w:rFonts w:hint="eastAsia" w:ascii="宋体" w:hAnsi="宋体" w:eastAsia="宋体" w:cs="宋体"/>
          <w:color w:val="auto"/>
          <w:sz w:val="24"/>
          <w:szCs w:val="24"/>
          <w:highlight w:val="none"/>
        </w:rPr>
        <w:t>人身份证明（适用于无委托代理人的情况）…………………………（）</w:t>
      </w:r>
    </w:p>
    <w:p>
      <w:p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二、授权委托书（适用于有委托代理人的情况）……………………………………（）</w:t>
      </w:r>
    </w:p>
    <w:p>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资格审查资料………………………………………………………………………（）</w:t>
      </w:r>
    </w:p>
    <w:p>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保密承诺书</w:t>
      </w:r>
      <w:r>
        <w:rPr>
          <w:rFonts w:hint="eastAsia" w:ascii="宋体" w:hAnsi="宋体" w:eastAsia="宋体" w:cs="宋体"/>
          <w:color w:val="auto"/>
          <w:sz w:val="24"/>
          <w:szCs w:val="24"/>
          <w:highlight w:val="none"/>
        </w:rPr>
        <w:t>…………………………………………………………………………（）</w:t>
      </w:r>
    </w:p>
    <w:p>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服务方案</w:t>
      </w:r>
      <w:r>
        <w:rPr>
          <w:rFonts w:hint="eastAsia" w:ascii="宋体" w:hAnsi="宋体" w:eastAsia="宋体" w:cs="宋体"/>
          <w:color w:val="auto"/>
          <w:sz w:val="24"/>
          <w:szCs w:val="24"/>
          <w:highlight w:val="none"/>
        </w:rPr>
        <w:t>……………………………………………………………………………（）</w:t>
      </w:r>
    </w:p>
    <w:p>
      <w:pPr>
        <w:pStyle w:val="14"/>
        <w:ind w:left="0"/>
        <w:rPr>
          <w:rFonts w:hAnsi="宋体"/>
          <w:sz w:val="24"/>
          <w:szCs w:val="24"/>
          <w:highlight w:val="none"/>
        </w:rPr>
      </w:pPr>
      <w:r>
        <w:rPr>
          <w:rFonts w:hint="eastAsia" w:hAnsi="宋体"/>
          <w:sz w:val="24"/>
          <w:szCs w:val="24"/>
          <w:highlight w:val="none"/>
          <w:lang w:val="en-US" w:eastAsia="zh-CN"/>
        </w:rPr>
        <w:t>六</w:t>
      </w:r>
      <w:r>
        <w:rPr>
          <w:rFonts w:hint="eastAsia" w:hAnsi="宋体"/>
          <w:sz w:val="24"/>
          <w:szCs w:val="24"/>
          <w:highlight w:val="none"/>
        </w:rPr>
        <w:t>、其他资料</w:t>
      </w:r>
      <w:r>
        <w:rPr>
          <w:rFonts w:hint="eastAsia" w:hAnsi="宋体"/>
          <w:sz w:val="24"/>
          <w:szCs w:val="24"/>
          <w:highlight w:val="none"/>
          <w:lang w:eastAsia="zh-CN"/>
        </w:rPr>
        <w:t>（如有）</w:t>
      </w:r>
      <w:r>
        <w:rPr>
          <w:rFonts w:hint="eastAsia" w:hAnsi="宋体"/>
          <w:sz w:val="24"/>
          <w:szCs w:val="24"/>
          <w:highlight w:val="none"/>
        </w:rPr>
        <w:t>…………………………………………………………………（）</w:t>
      </w:r>
    </w:p>
    <w:p>
      <w:pPr>
        <w:spacing w:after="0"/>
        <w:rPr>
          <w:rFonts w:ascii="宋体" w:hAnsi="宋体" w:eastAsia="宋体" w:cs="Times New Roman"/>
          <w:color w:val="auto"/>
          <w:sz w:val="20"/>
          <w:highlight w:val="none"/>
        </w:rPr>
      </w:pPr>
      <w:r>
        <w:rPr>
          <w:rFonts w:ascii="宋体" w:hAnsi="宋体" w:eastAsia="宋体" w:cs="Times New Roman"/>
          <w:color w:val="auto"/>
          <w:sz w:val="21"/>
          <w:highlight w:val="none"/>
        </w:rPr>
        <w:t xml:space="preserve"> </w:t>
      </w:r>
      <w:r>
        <w:rPr>
          <w:rFonts w:ascii="宋体" w:hAnsi="宋体" w:eastAsia="宋体" w:cs="Times New Roman"/>
          <w:color w:val="auto"/>
          <w:sz w:val="21"/>
          <w:highlight w:val="none"/>
        </w:rPr>
        <w:tab/>
      </w:r>
      <w:r>
        <w:rPr>
          <w:rFonts w:ascii="宋体" w:hAnsi="宋体" w:eastAsia="宋体" w:cs="Times New Roman"/>
          <w:color w:val="auto"/>
          <w:sz w:val="20"/>
          <w:highlight w:val="none"/>
        </w:rPr>
        <w:t xml:space="preserve"> </w:t>
      </w:r>
    </w:p>
    <w:p>
      <w:pPr>
        <w:pStyle w:val="5"/>
        <w:spacing w:after="0" w:line="360" w:lineRule="auto"/>
        <w:ind w:left="0" w:right="0" w:firstLine="0"/>
        <w:jc w:val="center"/>
        <w:rPr>
          <w:rFonts w:ascii="宋体" w:hAnsi="宋体" w:eastAsia="宋体"/>
          <w:color w:val="auto"/>
          <w:sz w:val="32"/>
          <w:highlight w:val="none"/>
        </w:rPr>
        <w:sectPr>
          <w:footerReference r:id="rId10" w:type="default"/>
          <w:pgSz w:w="12240" w:h="15840"/>
          <w:pgMar w:top="1440" w:right="1440" w:bottom="1440" w:left="1440" w:header="720" w:footer="720" w:gutter="0"/>
          <w:cols w:space="720" w:num="1"/>
        </w:sectPr>
      </w:pPr>
      <w:bookmarkStart w:id="38" w:name="_Toc14455"/>
      <w:bookmarkStart w:id="39" w:name="_Toc2224"/>
      <w:bookmarkStart w:id="40" w:name="_Toc128141274"/>
    </w:p>
    <w:p>
      <w:pPr>
        <w:pStyle w:val="5"/>
        <w:spacing w:after="0" w:line="360" w:lineRule="auto"/>
        <w:ind w:left="0" w:right="0" w:firstLine="0"/>
        <w:jc w:val="center"/>
        <w:rPr>
          <w:rFonts w:hint="eastAsia" w:ascii="黑体" w:hAnsi="黑体" w:eastAsia="黑体" w:cs="黑体"/>
          <w:b w:val="0"/>
          <w:bCs w:val="0"/>
          <w:color w:val="auto"/>
          <w:sz w:val="36"/>
          <w:szCs w:val="36"/>
          <w:highlight w:val="none"/>
          <w:lang w:val="en-US" w:eastAsia="zh-CN"/>
        </w:rPr>
      </w:pPr>
      <w:r>
        <w:rPr>
          <w:rFonts w:hint="eastAsia" w:ascii="黑体" w:hAnsi="黑体" w:eastAsia="黑体" w:cs="黑体"/>
          <w:b w:val="0"/>
          <w:bCs w:val="0"/>
          <w:color w:val="auto"/>
          <w:sz w:val="36"/>
          <w:szCs w:val="36"/>
          <w:highlight w:val="none"/>
        </w:rPr>
        <w:t>一、</w:t>
      </w:r>
      <w:bookmarkEnd w:id="38"/>
      <w:bookmarkEnd w:id="39"/>
      <w:bookmarkEnd w:id="40"/>
      <w:r>
        <w:rPr>
          <w:rFonts w:hint="eastAsia" w:ascii="黑体" w:hAnsi="黑体" w:eastAsia="黑体" w:cs="黑体"/>
          <w:b w:val="0"/>
          <w:bCs w:val="0"/>
          <w:color w:val="auto"/>
          <w:sz w:val="36"/>
          <w:szCs w:val="36"/>
          <w:highlight w:val="none"/>
          <w:lang w:val="en-US" w:eastAsia="zh-CN"/>
        </w:rPr>
        <w:t>比选申请函</w:t>
      </w:r>
    </w:p>
    <w:p>
      <w:pPr>
        <w:spacing w:after="152" w:line="265" w:lineRule="auto"/>
        <w:ind w:left="-5" w:right="103" w:hanging="10"/>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lang w:eastAsia="zh-CN"/>
        </w:rPr>
        <w:t>四川蜀物兴川物流发展有限公司</w:t>
      </w:r>
      <w:r>
        <w:rPr>
          <w:rFonts w:hint="eastAsia" w:ascii="仿宋_GB2312" w:hAnsi="仿宋_GB2312" w:eastAsia="仿宋_GB2312" w:cs="仿宋_GB2312"/>
          <w:color w:val="auto"/>
          <w:sz w:val="24"/>
          <w:szCs w:val="24"/>
          <w:highlight w:val="none"/>
          <w:u w:val="none" w:color="auto"/>
        </w:rPr>
        <w:t xml:space="preserve">： </w:t>
      </w:r>
    </w:p>
    <w:p>
      <w:pPr>
        <w:spacing w:after="0" w:line="360" w:lineRule="auto"/>
        <w:ind w:firstLine="480" w:firstLineChars="2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1．我方已仔细研究了</w:t>
      </w:r>
      <w:r>
        <w:rPr>
          <w:rFonts w:hint="eastAsia" w:ascii="仿宋_GB2312" w:hAnsi="仿宋_GB2312" w:eastAsia="仿宋_GB2312" w:cs="仿宋_GB2312"/>
          <w:b/>
          <w:bCs/>
          <w:color w:val="auto"/>
          <w:sz w:val="24"/>
          <w:szCs w:val="28"/>
          <w:highlight w:val="none"/>
          <w:u w:val="single"/>
          <w:lang w:eastAsia="zh-CN"/>
        </w:rPr>
        <w:t>四川蜀物兴川物流发展有限公司与深圳某国企买卖合同纠纷诉讼法律服务项目</w:t>
      </w:r>
      <w:r>
        <w:rPr>
          <w:rFonts w:hint="eastAsia" w:ascii="仿宋_GB2312" w:hAnsi="仿宋_GB2312" w:eastAsia="仿宋_GB2312" w:cs="仿宋_GB2312"/>
          <w:color w:val="auto"/>
          <w:sz w:val="24"/>
          <w:szCs w:val="24"/>
          <w:highlight w:val="none"/>
          <w:lang w:eastAsia="zh-CN"/>
        </w:rPr>
        <w:t>采购</w:t>
      </w:r>
      <w:r>
        <w:rPr>
          <w:rFonts w:hint="eastAsia" w:ascii="仿宋_GB2312" w:hAnsi="仿宋_GB2312" w:eastAsia="仿宋_GB2312" w:cs="仿宋_GB2312"/>
          <w:color w:val="auto"/>
          <w:sz w:val="24"/>
          <w:szCs w:val="24"/>
          <w:highlight w:val="none"/>
        </w:rPr>
        <w:t>项目</w:t>
      </w:r>
      <w:r>
        <w:rPr>
          <w:rFonts w:hint="eastAsia" w:ascii="仿宋_GB2312" w:hAnsi="仿宋_GB2312" w:eastAsia="仿宋_GB2312" w:cs="仿宋_GB2312"/>
          <w:color w:val="auto"/>
          <w:sz w:val="24"/>
          <w:szCs w:val="24"/>
          <w:highlight w:val="none"/>
          <w:lang w:val="en-US" w:eastAsia="zh-CN"/>
        </w:rPr>
        <w:t>比选</w:t>
      </w:r>
      <w:r>
        <w:rPr>
          <w:rFonts w:hint="eastAsia" w:ascii="仿宋_GB2312" w:hAnsi="仿宋_GB2312" w:eastAsia="仿宋_GB2312" w:cs="仿宋_GB2312"/>
          <w:color w:val="auto"/>
          <w:sz w:val="24"/>
          <w:szCs w:val="24"/>
          <w:highlight w:val="none"/>
        </w:rPr>
        <w:t>文件的全部内容，</w:t>
      </w:r>
      <w:r>
        <w:rPr>
          <w:rFonts w:hint="eastAsia" w:ascii="仿宋_GB2312" w:hAnsi="仿宋_GB2312" w:eastAsia="仿宋_GB2312" w:cs="仿宋_GB2312"/>
          <w:color w:val="auto"/>
          <w:sz w:val="24"/>
          <w:szCs w:val="24"/>
          <w:highlight w:val="none"/>
          <w:lang w:val="en-US" w:eastAsia="zh-CN"/>
        </w:rPr>
        <w:t>比选</w:t>
      </w:r>
      <w:r>
        <w:rPr>
          <w:rFonts w:hint="eastAsia" w:ascii="仿宋_GB2312" w:hAnsi="仿宋_GB2312" w:eastAsia="仿宋_GB2312" w:cs="仿宋_GB2312"/>
          <w:color w:val="auto"/>
          <w:sz w:val="24"/>
          <w:szCs w:val="24"/>
          <w:highlight w:val="none"/>
        </w:rPr>
        <w:t>报价为大写：</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（含税）</w:t>
      </w:r>
      <w:r>
        <w:rPr>
          <w:rFonts w:hint="eastAsia" w:ascii="仿宋_GB2312" w:hAnsi="仿宋_GB2312" w:eastAsia="仿宋_GB2312" w:cs="仿宋_GB2312"/>
          <w:color w:val="auto"/>
          <w:sz w:val="24"/>
          <w:szCs w:val="24"/>
          <w:highlight w:val="none"/>
        </w:rPr>
        <w:t>，小写：￥</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（含税）</w:t>
      </w:r>
      <w:r>
        <w:rPr>
          <w:rFonts w:hint="eastAsia" w:ascii="仿宋_GB2312" w:hAnsi="仿宋_GB2312" w:eastAsia="仿宋_GB2312" w:cs="仿宋_GB2312"/>
          <w:color w:val="auto"/>
          <w:sz w:val="24"/>
          <w:szCs w:val="24"/>
          <w:highlight w:val="none"/>
        </w:rPr>
        <w:t>，服务期限：</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b/>
          <w:bCs/>
          <w:color w:val="auto"/>
          <w:sz w:val="24"/>
          <w:szCs w:val="24"/>
          <w:highlight w:val="none"/>
          <w:u w:val="single" w:color="000000"/>
          <w:lang w:eastAsia="zh-CN"/>
        </w:rPr>
        <w:t>自代理合同签订之日起至</w:t>
      </w:r>
      <w:r>
        <w:rPr>
          <w:rFonts w:hint="eastAsia" w:ascii="仿宋_GB2312" w:hAnsi="仿宋_GB2312" w:eastAsia="仿宋_GB2312" w:cs="仿宋_GB2312"/>
          <w:b/>
          <w:bCs/>
          <w:color w:val="auto"/>
          <w:sz w:val="24"/>
          <w:szCs w:val="24"/>
          <w:highlight w:val="none"/>
          <w:u w:val="single" w:color="000000"/>
          <w:lang w:val="en-US" w:eastAsia="zh-CN"/>
        </w:rPr>
        <w:t>执行回款</w:t>
      </w:r>
      <w:r>
        <w:rPr>
          <w:rFonts w:hint="eastAsia" w:ascii="仿宋_GB2312" w:hAnsi="仿宋_GB2312" w:eastAsia="仿宋_GB2312" w:cs="仿宋_GB2312"/>
          <w:b/>
          <w:bCs/>
          <w:color w:val="auto"/>
          <w:sz w:val="24"/>
          <w:szCs w:val="24"/>
          <w:highlight w:val="none"/>
          <w:u w:val="single" w:color="000000"/>
          <w:lang w:eastAsia="zh-CN"/>
        </w:rPr>
        <w:t>为止</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并响应贵方</w:t>
      </w:r>
      <w:r>
        <w:rPr>
          <w:rFonts w:hint="eastAsia" w:ascii="仿宋_GB2312" w:hAnsi="仿宋_GB2312" w:eastAsia="仿宋_GB2312" w:cs="仿宋_GB2312"/>
          <w:color w:val="auto"/>
          <w:sz w:val="24"/>
          <w:szCs w:val="24"/>
          <w:highlight w:val="none"/>
          <w:lang w:val="en-US" w:eastAsia="zh-CN"/>
        </w:rPr>
        <w:t>比选</w:t>
      </w:r>
      <w:r>
        <w:rPr>
          <w:rFonts w:hint="eastAsia" w:ascii="仿宋_GB2312" w:hAnsi="仿宋_GB2312" w:eastAsia="仿宋_GB2312" w:cs="仿宋_GB2312"/>
          <w:color w:val="auto"/>
          <w:sz w:val="24"/>
          <w:szCs w:val="24"/>
          <w:highlight w:val="none"/>
          <w:lang w:eastAsia="zh-CN"/>
        </w:rPr>
        <w:t>文件中所有实质性要求，按合同约定履行全部义务</w:t>
      </w:r>
      <w:r>
        <w:rPr>
          <w:rFonts w:hint="eastAsia" w:ascii="仿宋_GB2312" w:hAnsi="仿宋_GB2312" w:eastAsia="仿宋_GB2312" w:cs="仿宋_GB2312"/>
          <w:color w:val="auto"/>
          <w:sz w:val="24"/>
          <w:szCs w:val="24"/>
          <w:highlight w:val="none"/>
        </w:rPr>
        <w:t xml:space="preserve">。 </w:t>
      </w:r>
    </w:p>
    <w:p>
      <w:pPr>
        <w:pStyle w:val="2"/>
        <w:rPr>
          <w:rFonts w:hint="eastAsia"/>
        </w:rPr>
      </w:pPr>
    </w:p>
    <w:tbl>
      <w:tblPr>
        <w:tblStyle w:val="30"/>
        <w:tblW w:w="8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1635"/>
        <w:gridCol w:w="1620"/>
        <w:gridCol w:w="171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763"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宋体" w:hAnsi="宋体" w:eastAsia="宋体"/>
                <w:b/>
                <w:bCs/>
                <w:sz w:val="22"/>
                <w:szCs w:val="22"/>
                <w:lang w:val="en-US" w:eastAsia="zh-CN"/>
              </w:rPr>
            </w:pPr>
            <w:r>
              <w:rPr>
                <w:rFonts w:hint="eastAsia" w:ascii="宋体" w:hAnsi="宋体"/>
                <w:b/>
                <w:bCs/>
                <w:sz w:val="22"/>
                <w:szCs w:val="22"/>
                <w:lang w:val="en-US" w:eastAsia="zh-CN"/>
              </w:rPr>
              <w:t>基础代理费</w:t>
            </w:r>
          </w:p>
        </w:tc>
        <w:tc>
          <w:tcPr>
            <w:tcW w:w="1635"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宋体" w:hAnsi="宋体" w:eastAsia="宋体"/>
                <w:b/>
                <w:bCs/>
                <w:sz w:val="22"/>
                <w:szCs w:val="22"/>
                <w:lang w:val="en-US" w:eastAsia="zh-CN"/>
              </w:rPr>
            </w:pPr>
            <w:r>
              <w:rPr>
                <w:rFonts w:hint="eastAsia" w:ascii="宋体" w:hAnsi="宋体"/>
                <w:b/>
                <w:bCs/>
                <w:szCs w:val="21"/>
                <w:lang w:val="en-US" w:eastAsia="zh-CN"/>
              </w:rPr>
              <w:t>风险费费率</w:t>
            </w:r>
          </w:p>
        </w:tc>
        <w:tc>
          <w:tcPr>
            <w:tcW w:w="162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宋体" w:hAnsi="宋体"/>
                <w:b/>
                <w:bCs/>
                <w:szCs w:val="21"/>
                <w:lang w:val="en-US" w:eastAsia="zh-CN"/>
              </w:rPr>
            </w:pPr>
            <w:r>
              <w:rPr>
                <w:rFonts w:hint="eastAsia" w:ascii="宋体" w:hAnsi="宋体"/>
                <w:b/>
                <w:bCs/>
                <w:szCs w:val="21"/>
                <w:lang w:val="en-US" w:eastAsia="zh-CN"/>
              </w:rPr>
              <w:t>暂估的风险</w:t>
            </w:r>
          </w:p>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宋体" w:hAnsi="宋体" w:eastAsia="宋体"/>
                <w:b/>
                <w:bCs/>
                <w:sz w:val="22"/>
                <w:szCs w:val="22"/>
                <w:lang w:val="en-US" w:eastAsia="zh-CN"/>
              </w:rPr>
            </w:pPr>
            <w:r>
              <w:rPr>
                <w:rFonts w:hint="eastAsia" w:ascii="宋体" w:hAnsi="宋体"/>
                <w:b/>
                <w:bCs/>
                <w:szCs w:val="21"/>
                <w:lang w:val="en-US" w:eastAsia="zh-CN"/>
              </w:rPr>
              <w:t>代理费</w:t>
            </w:r>
          </w:p>
        </w:tc>
        <w:tc>
          <w:tcPr>
            <w:tcW w:w="171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宋体" w:hAnsi="宋体"/>
                <w:b/>
                <w:bCs/>
                <w:szCs w:val="21"/>
                <w:lang w:val="en-US" w:eastAsia="zh-CN"/>
              </w:rPr>
            </w:pPr>
            <w:r>
              <w:rPr>
                <w:rFonts w:hint="eastAsia" w:ascii="宋体" w:hAnsi="宋体"/>
                <w:b/>
                <w:bCs/>
                <w:szCs w:val="21"/>
                <w:lang w:val="en-US" w:eastAsia="zh-CN"/>
              </w:rPr>
              <w:t>总价</w:t>
            </w: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宋体" w:hAnsi="宋体"/>
                <w:b/>
                <w:bCs/>
                <w:sz w:val="22"/>
                <w:szCs w:val="22"/>
              </w:rPr>
            </w:pPr>
            <w:r>
              <w:rPr>
                <w:rFonts w:hint="eastAsia" w:ascii="宋体" w:hAnsi="宋体"/>
                <w:b/>
                <w:bCs/>
                <w:szCs w:val="21"/>
              </w:rPr>
              <w:t>（含税价）</w:t>
            </w:r>
          </w:p>
        </w:tc>
        <w:tc>
          <w:tcPr>
            <w:tcW w:w="129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宋体" w:hAnsi="宋体" w:eastAsia="宋体"/>
                <w:b/>
                <w:bCs/>
                <w:sz w:val="22"/>
                <w:szCs w:val="22"/>
                <w:lang w:val="en-US" w:eastAsia="zh-CN"/>
              </w:rPr>
            </w:pPr>
            <w:r>
              <w:rPr>
                <w:rFonts w:hint="eastAsia" w:ascii="宋体" w:hAnsi="宋体"/>
                <w:b/>
                <w:bCs/>
                <w:szCs w:val="21"/>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763"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宋体" w:hAnsi="宋体"/>
                <w:b/>
                <w:bCs/>
                <w:szCs w:val="21"/>
              </w:rPr>
            </w:pPr>
          </w:p>
        </w:tc>
        <w:tc>
          <w:tcPr>
            <w:tcW w:w="1635"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宋体" w:hAnsi="宋体"/>
                <w:szCs w:val="21"/>
                <w:highlight w:val="yellow"/>
              </w:rPr>
            </w:pPr>
          </w:p>
        </w:tc>
        <w:tc>
          <w:tcPr>
            <w:tcW w:w="162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宋体" w:hAnsi="宋体"/>
                <w:szCs w:val="21"/>
                <w:highlight w:val="yellow"/>
              </w:rPr>
            </w:pPr>
          </w:p>
        </w:tc>
        <w:tc>
          <w:tcPr>
            <w:tcW w:w="1710"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宋体" w:hAnsi="宋体"/>
                <w:szCs w:val="21"/>
                <w:highlight w:val="yellow"/>
              </w:rPr>
            </w:pPr>
          </w:p>
        </w:tc>
        <w:tc>
          <w:tcPr>
            <w:tcW w:w="1294"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022" w:type="dxa"/>
            <w:gridSpan w:val="5"/>
            <w:vAlign w:val="center"/>
          </w:tcPr>
          <w:p>
            <w:pPr>
              <w:keepNext w:val="0"/>
              <w:keepLines w:val="0"/>
              <w:pageBreakBefore w:val="0"/>
              <w:widowControl w:val="0"/>
              <w:kinsoku/>
              <w:wordWrap/>
              <w:overflowPunct/>
              <w:topLinePunct w:val="0"/>
              <w:bidi w:val="0"/>
              <w:adjustRightInd/>
              <w:snapToGrid/>
              <w:spacing w:line="560" w:lineRule="exact"/>
              <w:jc w:val="left"/>
              <w:textAlignment w:val="auto"/>
              <w:rPr>
                <w:rFonts w:hint="default" w:ascii="宋体" w:hAnsi="宋体"/>
                <w:szCs w:val="21"/>
                <w:highlight w:val="yellow"/>
                <w:lang w:val="en-US"/>
              </w:rPr>
            </w:pPr>
            <w:r>
              <w:rPr>
                <w:rFonts w:hint="eastAsia" w:ascii="宋体" w:hAnsi="宋体"/>
                <w:b/>
                <w:bCs/>
                <w:sz w:val="22"/>
                <w:szCs w:val="22"/>
                <w:lang w:val="en-US" w:eastAsia="zh-CN"/>
              </w:rPr>
              <w:t>备注：1.本项目风险代理费基数以本诉和反诉(或另行起诉)判决结果相品迭后询价人实际回收到账金额为基数计取</w:t>
            </w:r>
          </w:p>
        </w:tc>
      </w:tr>
    </w:tbl>
    <w:p>
      <w:pPr>
        <w:spacing w:after="0" w:line="360" w:lineRule="auto"/>
        <w:ind w:firstLine="480" w:firstLineChars="200"/>
        <w:rPr>
          <w:rFonts w:hint="eastAsia" w:ascii="仿宋_GB2312" w:hAnsi="仿宋_GB2312" w:eastAsia="仿宋_GB2312" w:cs="仿宋_GB2312"/>
          <w:color w:val="auto"/>
          <w:sz w:val="24"/>
          <w:szCs w:val="24"/>
          <w:highlight w:val="none"/>
        </w:rPr>
      </w:pPr>
    </w:p>
    <w:p>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2.我方的</w:t>
      </w: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 xml:space="preserve">文件包括下列内容： </w:t>
      </w:r>
    </w:p>
    <w:p>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（1）比选申请函； </w:t>
      </w:r>
    </w:p>
    <w:p>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 xml:space="preserve">人身份证明或授权委托书； </w:t>
      </w:r>
    </w:p>
    <w:p>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（3）资格审查资料；</w:t>
      </w:r>
    </w:p>
    <w:p>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承诺函</w:t>
      </w:r>
      <w:r>
        <w:rPr>
          <w:rFonts w:hint="eastAsia" w:ascii="仿宋_GB2312" w:hAnsi="仿宋_GB2312" w:eastAsia="仿宋_GB2312" w:cs="仿宋_GB2312"/>
          <w:color w:val="auto"/>
          <w:sz w:val="24"/>
          <w:szCs w:val="24"/>
          <w:highlight w:val="none"/>
        </w:rPr>
        <w:t>；</w:t>
      </w:r>
    </w:p>
    <w:p>
      <w:pPr>
        <w:spacing w:after="0"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（5）服务方案</w:t>
      </w:r>
    </w:p>
    <w:p>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）其他资料</w:t>
      </w:r>
      <w:r>
        <w:rPr>
          <w:rFonts w:hint="eastAsia" w:ascii="仿宋_GB2312" w:hAnsi="仿宋_GB2312" w:eastAsia="仿宋_GB2312" w:cs="仿宋_GB2312"/>
          <w:color w:val="auto"/>
          <w:sz w:val="24"/>
          <w:szCs w:val="24"/>
          <w:highlight w:val="none"/>
          <w:lang w:eastAsia="zh-CN"/>
        </w:rPr>
        <w:t>（如有）</w:t>
      </w:r>
      <w:r>
        <w:rPr>
          <w:rFonts w:hint="eastAsia" w:ascii="仿宋_GB2312" w:hAnsi="仿宋_GB2312" w:eastAsia="仿宋_GB2312" w:cs="仿宋_GB2312"/>
          <w:color w:val="auto"/>
          <w:sz w:val="24"/>
          <w:szCs w:val="24"/>
          <w:highlight w:val="none"/>
        </w:rPr>
        <w:t xml:space="preserve">； </w:t>
      </w:r>
    </w:p>
    <w:p>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 xml:space="preserve">文件的上述组成部分如存在内容不一致的，以比选申请函为准。 </w:t>
      </w:r>
    </w:p>
    <w:p>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3．我方承诺在</w:t>
      </w:r>
      <w:r>
        <w:rPr>
          <w:rFonts w:hint="eastAsia" w:ascii="仿宋_GB2312" w:hAnsi="仿宋_GB2312" w:eastAsia="仿宋_GB2312" w:cs="仿宋_GB2312"/>
          <w:color w:val="auto"/>
          <w:sz w:val="24"/>
          <w:szCs w:val="24"/>
          <w:highlight w:val="none"/>
          <w:lang w:val="en-US" w:eastAsia="zh-CN"/>
        </w:rPr>
        <w:t>比选文件</w:t>
      </w:r>
      <w:r>
        <w:rPr>
          <w:rFonts w:hint="eastAsia" w:ascii="仿宋_GB2312" w:hAnsi="仿宋_GB2312" w:eastAsia="仿宋_GB2312" w:cs="仿宋_GB2312"/>
          <w:color w:val="auto"/>
          <w:sz w:val="24"/>
          <w:szCs w:val="24"/>
          <w:highlight w:val="none"/>
        </w:rPr>
        <w:t>规定的有效期内不撤销</w:t>
      </w: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 xml:space="preserve">文件。 </w:t>
      </w:r>
    </w:p>
    <w:p>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4．如我方</w:t>
      </w:r>
      <w:r>
        <w:rPr>
          <w:rFonts w:hint="eastAsia" w:ascii="仿宋_GB2312" w:hAnsi="仿宋_GB2312" w:eastAsia="仿宋_GB2312" w:cs="仿宋_GB2312"/>
          <w:color w:val="auto"/>
          <w:sz w:val="24"/>
          <w:szCs w:val="24"/>
          <w:highlight w:val="none"/>
          <w:lang w:val="en-US" w:eastAsia="zh-CN"/>
        </w:rPr>
        <w:t>中选</w:t>
      </w:r>
      <w:r>
        <w:rPr>
          <w:rFonts w:hint="eastAsia" w:ascii="仿宋_GB2312" w:hAnsi="仿宋_GB2312" w:eastAsia="仿宋_GB2312" w:cs="仿宋_GB2312"/>
          <w:color w:val="auto"/>
          <w:sz w:val="24"/>
          <w:szCs w:val="24"/>
          <w:highlight w:val="none"/>
        </w:rPr>
        <w:t xml:space="preserve">，我方承诺： </w:t>
      </w:r>
    </w:p>
    <w:p>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（1）在收到</w:t>
      </w:r>
      <w:r>
        <w:rPr>
          <w:rFonts w:hint="eastAsia" w:ascii="仿宋_GB2312" w:hAnsi="仿宋_GB2312" w:eastAsia="仿宋_GB2312" w:cs="仿宋_GB2312"/>
          <w:color w:val="auto"/>
          <w:sz w:val="24"/>
          <w:szCs w:val="24"/>
          <w:highlight w:val="none"/>
          <w:lang w:val="en-US" w:eastAsia="zh-CN"/>
        </w:rPr>
        <w:t>中选</w:t>
      </w:r>
      <w:r>
        <w:rPr>
          <w:rFonts w:hint="eastAsia" w:ascii="仿宋_GB2312" w:hAnsi="仿宋_GB2312" w:eastAsia="仿宋_GB2312" w:cs="仿宋_GB2312"/>
          <w:color w:val="auto"/>
          <w:sz w:val="24"/>
          <w:szCs w:val="24"/>
          <w:highlight w:val="none"/>
        </w:rPr>
        <w:t>通知书后，在</w:t>
      </w:r>
      <w:r>
        <w:rPr>
          <w:rFonts w:hint="eastAsia" w:ascii="仿宋_GB2312" w:hAnsi="仿宋_GB2312" w:eastAsia="仿宋_GB2312" w:cs="仿宋_GB2312"/>
          <w:color w:val="auto"/>
          <w:sz w:val="24"/>
          <w:szCs w:val="24"/>
          <w:highlight w:val="none"/>
          <w:lang w:val="en-US" w:eastAsia="zh-CN"/>
        </w:rPr>
        <w:t>中选</w:t>
      </w:r>
      <w:r>
        <w:rPr>
          <w:rFonts w:hint="eastAsia" w:ascii="仿宋_GB2312" w:hAnsi="仿宋_GB2312" w:eastAsia="仿宋_GB2312" w:cs="仿宋_GB2312"/>
          <w:color w:val="auto"/>
          <w:sz w:val="24"/>
          <w:szCs w:val="24"/>
          <w:highlight w:val="none"/>
        </w:rPr>
        <w:t xml:space="preserve">通知书规定的期限内与你方签订合同； </w:t>
      </w:r>
    </w:p>
    <w:p>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（2）在签订合同时不向你方提出附加条件； </w:t>
      </w:r>
    </w:p>
    <w:p>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（3）在合同约定的期限内完成合同规定的全部义务。 </w:t>
      </w:r>
    </w:p>
    <w:p>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5．我方在此声明，所递交的</w:t>
      </w: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文件及有关资料内容完整、真实和准确，一旦发现上述资料和信息的失实和错误，贵方将有权否决我方的</w:t>
      </w:r>
      <w:r>
        <w:rPr>
          <w:rFonts w:hint="eastAsia" w:ascii="仿宋_GB2312" w:hAnsi="仿宋_GB2312" w:eastAsia="仿宋_GB2312" w:cs="仿宋_GB2312"/>
          <w:color w:val="auto"/>
          <w:sz w:val="24"/>
          <w:szCs w:val="24"/>
          <w:highlight w:val="none"/>
          <w:lang w:val="en-US" w:eastAsia="zh-CN"/>
        </w:rPr>
        <w:t>参选</w:t>
      </w:r>
      <w:r>
        <w:rPr>
          <w:rFonts w:hint="eastAsia" w:ascii="仿宋_GB2312" w:hAnsi="仿宋_GB2312" w:eastAsia="仿宋_GB2312" w:cs="仿宋_GB2312"/>
          <w:color w:val="auto"/>
          <w:sz w:val="24"/>
          <w:szCs w:val="24"/>
          <w:highlight w:val="none"/>
        </w:rPr>
        <w:t>，同时，我方将承担相应的法律责任。</w:t>
      </w:r>
    </w:p>
    <w:p>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spacing w:after="151"/>
        <w:ind w:left="10" w:right="451" w:hanging="10"/>
        <w:jc w:val="right"/>
        <w:rPr>
          <w:rFonts w:hint="eastAsia" w:ascii="仿宋_GB2312" w:hAnsi="仿宋_GB2312" w:eastAsia="仿宋_GB2312" w:cs="仿宋_GB2312"/>
          <w:color w:val="auto"/>
          <w:sz w:val="24"/>
          <w:szCs w:val="24"/>
          <w:highlight w:val="none"/>
        </w:rPr>
      </w:pPr>
    </w:p>
    <w:p>
      <w:pPr>
        <w:spacing w:after="151"/>
        <w:ind w:left="10" w:right="451"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参选</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val="single" w:color="000000"/>
          <w:lang w:val="en-US" w:eastAsia="zh-CN"/>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（盖单位章）                         </w:t>
      </w:r>
    </w:p>
    <w:p>
      <w:pPr>
        <w:spacing w:after="151"/>
        <w:ind w:left="10" w:right="451"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人或其委托代理人：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（签字） </w:t>
      </w:r>
    </w:p>
    <w:p>
      <w:pPr>
        <w:spacing w:after="151"/>
        <w:ind w:left="10" w:right="451" w:hanging="10"/>
        <w:jc w:val="right"/>
        <w:rPr>
          <w:rFonts w:ascii="宋体" w:hAnsi="宋体" w:eastAsia="宋体" w:cs="Times New Roman"/>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日  </w:t>
      </w:r>
    </w:p>
    <w:p>
      <w:pPr>
        <w:pStyle w:val="5"/>
        <w:spacing w:after="0" w:line="360" w:lineRule="auto"/>
        <w:ind w:left="0" w:right="0" w:firstLine="0"/>
        <w:jc w:val="both"/>
        <w:rPr>
          <w:rFonts w:ascii="宋体" w:hAnsi="宋体" w:eastAsia="宋体"/>
          <w:b/>
          <w:bCs/>
          <w:color w:val="auto"/>
          <w:sz w:val="32"/>
          <w:highlight w:val="none"/>
        </w:rPr>
      </w:pPr>
      <w:bookmarkStart w:id="41" w:name="_Toc128141275"/>
      <w:bookmarkStart w:id="42" w:name="_Toc20030"/>
      <w:bookmarkStart w:id="43" w:name="_Toc22530"/>
    </w:p>
    <w:p>
      <w:pPr>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rPr>
        <w:br w:type="page"/>
      </w:r>
    </w:p>
    <w:p>
      <w:pPr>
        <w:pStyle w:val="5"/>
        <w:spacing w:after="0" w:line="360" w:lineRule="auto"/>
        <w:ind w:left="0" w:right="0" w:firstLine="0"/>
        <w:jc w:val="center"/>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rPr>
        <w:t>二、</w:t>
      </w:r>
      <w:r>
        <w:rPr>
          <w:rFonts w:hint="eastAsia" w:ascii="黑体" w:hAnsi="黑体" w:eastAsia="黑体" w:cs="黑体"/>
          <w:b w:val="0"/>
          <w:bCs w:val="0"/>
          <w:color w:val="auto"/>
          <w:sz w:val="36"/>
          <w:szCs w:val="36"/>
          <w:highlight w:val="none"/>
          <w:lang w:eastAsia="zh-CN"/>
        </w:rPr>
        <w:t>单位负责</w:t>
      </w:r>
      <w:r>
        <w:rPr>
          <w:rFonts w:hint="eastAsia" w:ascii="黑体" w:hAnsi="黑体" w:eastAsia="黑体" w:cs="黑体"/>
          <w:b w:val="0"/>
          <w:bCs w:val="0"/>
          <w:color w:val="auto"/>
          <w:sz w:val="36"/>
          <w:szCs w:val="36"/>
          <w:highlight w:val="none"/>
        </w:rPr>
        <w:t>人身份证明</w:t>
      </w:r>
      <w:bookmarkEnd w:id="41"/>
      <w:bookmarkEnd w:id="42"/>
      <w:bookmarkEnd w:id="43"/>
      <w:r>
        <w:rPr>
          <w:rFonts w:hint="eastAsia" w:ascii="黑体" w:hAnsi="黑体" w:eastAsia="黑体" w:cs="黑体"/>
          <w:b w:val="0"/>
          <w:bCs w:val="0"/>
          <w:color w:val="auto"/>
          <w:sz w:val="36"/>
          <w:szCs w:val="36"/>
          <w:highlight w:val="none"/>
        </w:rPr>
        <w:t xml:space="preserve"> </w:t>
      </w:r>
    </w:p>
    <w:p>
      <w:pPr>
        <w:spacing w:after="0" w:line="433" w:lineRule="auto"/>
        <w:ind w:right="8802"/>
        <w:rPr>
          <w:rFonts w:ascii="宋体" w:hAnsi="宋体" w:eastAsia="宋体"/>
          <w:color w:val="auto"/>
          <w:highlight w:val="none"/>
        </w:rPr>
      </w:pPr>
      <w:r>
        <w:rPr>
          <w:rFonts w:ascii="宋体" w:hAnsi="宋体" w:eastAsia="宋体" w:cs="Times New Roman"/>
          <w:color w:val="auto"/>
          <w:sz w:val="20"/>
          <w:highlight w:val="none"/>
        </w:rPr>
        <w:t xml:space="preserve"> </w:t>
      </w:r>
      <w:r>
        <w:rPr>
          <w:rFonts w:ascii="宋体" w:hAnsi="宋体" w:eastAsia="宋体" w:cs="Times New Roman"/>
          <w:color w:val="auto"/>
          <w:sz w:val="21"/>
          <w:highlight w:val="none"/>
        </w:rPr>
        <w:t xml:space="preserve"> </w:t>
      </w:r>
    </w:p>
    <w:p>
      <w:pPr>
        <w:spacing w:after="145" w:line="360" w:lineRule="auto"/>
        <w:ind w:left="-5"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四川蜀物兴川物流发展有限公司</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 </w:t>
      </w:r>
    </w:p>
    <w:p>
      <w:pPr>
        <w:spacing w:after="145" w:line="360" w:lineRule="auto"/>
        <w:ind w:right="103"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性别：</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年龄：</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职务：</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 系</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val="en-US" w:eastAsia="zh-CN"/>
        </w:rPr>
        <w:t>参选人</w:t>
      </w:r>
      <w:r>
        <w:rPr>
          <w:rFonts w:hint="eastAsia" w:ascii="仿宋_GB2312" w:hAnsi="仿宋_GB2312" w:eastAsia="仿宋_GB2312" w:cs="仿宋_GB2312"/>
          <w:b w:val="0"/>
          <w:bCs w:val="0"/>
          <w:color w:val="auto"/>
          <w:sz w:val="24"/>
          <w:szCs w:val="24"/>
          <w:highlight w:val="none"/>
        </w:rPr>
        <w:t>名称）</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sz w:val="24"/>
          <w:szCs w:val="24"/>
          <w:highlight w:val="none"/>
          <w:lang w:eastAsia="zh-CN"/>
        </w:rPr>
        <w:t>单位负责人有权</w:t>
      </w:r>
      <w:r>
        <w:rPr>
          <w:rFonts w:hint="eastAsia" w:ascii="仿宋_GB2312" w:hAnsi="仿宋_GB2312" w:eastAsia="仿宋_GB2312" w:cs="仿宋_GB2312"/>
          <w:color w:val="auto"/>
          <w:sz w:val="24"/>
          <w:szCs w:val="24"/>
          <w:highlight w:val="none"/>
        </w:rPr>
        <w:t>以本律师事务所的名义递交</w:t>
      </w: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文件并处理与此有关的一切事务，</w:t>
      </w:r>
      <w:r>
        <w:rPr>
          <w:rFonts w:hint="eastAsia" w:ascii="仿宋_GB2312" w:hAnsi="仿宋_GB2312" w:eastAsia="仿宋_GB2312" w:cs="仿宋_GB2312"/>
          <w:color w:val="auto"/>
          <w:sz w:val="24"/>
          <w:szCs w:val="24"/>
          <w:highlight w:val="none"/>
          <w:lang w:eastAsia="zh-CN"/>
        </w:rPr>
        <w:t>相关</w:t>
      </w:r>
      <w:r>
        <w:rPr>
          <w:rFonts w:hint="eastAsia" w:ascii="仿宋_GB2312" w:hAnsi="仿宋_GB2312" w:eastAsia="仿宋_GB2312" w:cs="仿宋_GB2312"/>
          <w:color w:val="auto"/>
          <w:sz w:val="24"/>
          <w:szCs w:val="24"/>
          <w:highlight w:val="none"/>
        </w:rPr>
        <w:t>法律责任和后果</w:t>
      </w:r>
      <w:r>
        <w:rPr>
          <w:rFonts w:hint="eastAsia" w:ascii="仿宋_GB2312" w:hAnsi="仿宋_GB2312" w:eastAsia="仿宋_GB2312" w:cs="仿宋_GB2312"/>
          <w:color w:val="auto"/>
          <w:sz w:val="24"/>
          <w:szCs w:val="24"/>
          <w:highlight w:val="none"/>
          <w:lang w:eastAsia="zh-CN"/>
        </w:rPr>
        <w:t>均由本单位承担</w:t>
      </w:r>
      <w:r>
        <w:rPr>
          <w:rFonts w:hint="eastAsia" w:ascii="仿宋_GB2312" w:hAnsi="仿宋_GB2312" w:eastAsia="仿宋_GB2312" w:cs="仿宋_GB2312"/>
          <w:color w:val="auto"/>
          <w:sz w:val="24"/>
          <w:szCs w:val="24"/>
          <w:highlight w:val="none"/>
        </w:rPr>
        <w:t>。</w:t>
      </w:r>
    </w:p>
    <w:p>
      <w:pPr>
        <w:spacing w:after="152" w:line="265" w:lineRule="auto"/>
        <w:ind w:right="103"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特此证明。 </w:t>
      </w:r>
    </w:p>
    <w:p>
      <w:pPr>
        <w:spacing w:after="18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spacing w:after="153" w:line="265" w:lineRule="auto"/>
        <w:ind w:left="-5"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 xml:space="preserve">人身份证复印件。 </w:t>
      </w:r>
    </w:p>
    <w:tbl>
      <w:tblPr>
        <w:tblStyle w:val="31"/>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0"/>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trPr>
        <w:tc>
          <w:tcPr>
            <w:tcW w:w="4810" w:type="dxa"/>
          </w:tcPr>
          <w:p>
            <w:pPr>
              <w:widowControl w:val="0"/>
              <w:spacing w:after="182"/>
              <w:jc w:val="both"/>
              <w:rPr>
                <w:rFonts w:ascii="宋体" w:hAnsi="宋体" w:eastAsia="宋体"/>
                <w:color w:val="auto"/>
                <w:sz w:val="24"/>
                <w:szCs w:val="24"/>
                <w:highlight w:val="none"/>
                <w:vertAlign w:val="baseline"/>
              </w:rPr>
            </w:pPr>
            <w:r>
              <w:rPr>
                <w:rFonts w:ascii="宋体" w:hAnsi="宋体" w:eastAsia="宋体" w:cs="Times New Roman"/>
                <w:color w:val="auto"/>
                <w:sz w:val="24"/>
                <w:szCs w:val="24"/>
                <w:highlight w:val="none"/>
              </w:rPr>
              <w:t xml:space="preserve"> </w:t>
            </w:r>
          </w:p>
        </w:tc>
        <w:tc>
          <w:tcPr>
            <w:tcW w:w="4810" w:type="dxa"/>
          </w:tcPr>
          <w:p>
            <w:pPr>
              <w:widowControl w:val="0"/>
              <w:spacing w:after="182"/>
              <w:jc w:val="both"/>
              <w:rPr>
                <w:rFonts w:ascii="宋体" w:hAnsi="宋体" w:eastAsia="宋体"/>
                <w:color w:val="auto"/>
                <w:sz w:val="24"/>
                <w:szCs w:val="24"/>
                <w:highlight w:val="none"/>
                <w:vertAlign w:val="baseline"/>
              </w:rPr>
            </w:pPr>
          </w:p>
        </w:tc>
      </w:tr>
    </w:tbl>
    <w:p>
      <w:pPr>
        <w:spacing w:after="182"/>
        <w:rPr>
          <w:rFonts w:ascii="宋体" w:hAnsi="宋体" w:eastAsia="宋体"/>
          <w:color w:val="auto"/>
          <w:sz w:val="24"/>
          <w:szCs w:val="24"/>
          <w:highlight w:val="none"/>
        </w:rPr>
      </w:pPr>
    </w:p>
    <w:p>
      <w:pPr>
        <w:spacing w:after="175"/>
        <w:rPr>
          <w:rFonts w:hint="eastAsia" w:ascii="仿宋_GB2312" w:hAnsi="仿宋_GB2312" w:eastAsia="仿宋_GB2312" w:cs="仿宋_GB2312"/>
          <w:color w:val="auto"/>
          <w:sz w:val="24"/>
          <w:szCs w:val="24"/>
          <w:highlight w:val="none"/>
        </w:rPr>
      </w:pPr>
      <w:r>
        <w:rPr>
          <w:rFonts w:ascii="宋体" w:hAnsi="宋体" w:eastAsia="宋体" w:cs="Times New Roman"/>
          <w:color w:val="auto"/>
          <w:sz w:val="24"/>
          <w:szCs w:val="24"/>
          <w:highlight w:val="none"/>
        </w:rPr>
        <w:t xml:space="preserve"> </w:t>
      </w:r>
    </w:p>
    <w:p>
      <w:pPr>
        <w:spacing w:after="17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参选</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val="single" w:color="000000"/>
        </w:rPr>
        <w:tab/>
      </w:r>
      <w:r>
        <w:rPr>
          <w:rFonts w:hint="eastAsia" w:ascii="仿宋_GB2312" w:hAnsi="仿宋_GB2312" w:eastAsia="仿宋_GB2312" w:cs="仿宋_GB2312"/>
          <w:color w:val="auto"/>
          <w:sz w:val="24"/>
          <w:szCs w:val="24"/>
          <w:highlight w:val="none"/>
        </w:rPr>
        <w:t xml:space="preserve">（盖单位章） </w:t>
      </w:r>
    </w:p>
    <w:p>
      <w:pPr>
        <w:spacing w:after="17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tabs>
          <w:tab w:val="left" w:pos="9020"/>
        </w:tabs>
        <w:spacing w:after="151"/>
        <w:ind w:left="10" w:right="340" w:rightChars="0"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color="000000"/>
          <w:lang w:val="en-US" w:eastAsia="zh-CN"/>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日 </w:t>
      </w:r>
    </w:p>
    <w:p>
      <w:pPr>
        <w:spacing w:after="192"/>
        <w:rPr>
          <w:rFonts w:ascii="宋体" w:hAnsi="宋体" w:eastAsia="宋体"/>
          <w:color w:val="auto"/>
          <w:highlight w:val="none"/>
        </w:rPr>
      </w:pPr>
      <w:r>
        <w:rPr>
          <w:rFonts w:ascii="宋体" w:hAnsi="宋体" w:eastAsia="宋体" w:cs="Times New Roman"/>
          <w:color w:val="auto"/>
          <w:sz w:val="20"/>
          <w:highlight w:val="none"/>
        </w:rPr>
        <w:t xml:space="preserve"> </w:t>
      </w:r>
    </w:p>
    <w:p>
      <w:pPr>
        <w:spacing w:after="0"/>
        <w:ind w:right="1604"/>
        <w:jc w:val="right"/>
        <w:rPr>
          <w:rFonts w:ascii="宋体" w:hAnsi="宋体" w:eastAsia="宋体"/>
          <w:color w:val="auto"/>
          <w:highlight w:val="none"/>
        </w:rPr>
      </w:pPr>
      <w:r>
        <w:rPr>
          <w:rFonts w:ascii="宋体" w:hAnsi="宋体" w:eastAsia="宋体" w:cs="Times New Roman"/>
          <w:color w:val="auto"/>
          <w:sz w:val="20"/>
          <w:highlight w:val="none"/>
        </w:rPr>
        <w:t xml:space="preserve"> </w:t>
      </w:r>
      <w:r>
        <w:rPr>
          <w:rFonts w:ascii="宋体" w:hAnsi="宋体" w:eastAsia="宋体" w:cs="Times New Roman"/>
          <w:color w:val="auto"/>
          <w:sz w:val="20"/>
          <w:highlight w:val="none"/>
        </w:rPr>
        <w:tab/>
      </w:r>
      <w:r>
        <w:rPr>
          <w:rFonts w:ascii="宋体" w:hAnsi="宋体" w:eastAsia="宋体" w:cs="Times New Roman"/>
          <w:color w:val="auto"/>
          <w:sz w:val="20"/>
          <w:highlight w:val="none"/>
        </w:rPr>
        <w:t xml:space="preserve"> </w:t>
      </w:r>
    </w:p>
    <w:p>
      <w:pPr>
        <w:spacing w:after="0" w:line="240" w:lineRule="auto"/>
        <w:rPr>
          <w:rFonts w:ascii="宋体" w:hAnsi="宋体" w:eastAsia="宋体" w:cs="黑体"/>
          <w:color w:val="auto"/>
          <w:sz w:val="32"/>
          <w:highlight w:val="none"/>
        </w:rPr>
      </w:pPr>
      <w:r>
        <w:rPr>
          <w:rFonts w:ascii="宋体" w:hAnsi="宋体" w:eastAsia="宋体"/>
          <w:color w:val="auto"/>
          <w:sz w:val="32"/>
          <w:highlight w:val="none"/>
        </w:rPr>
        <w:br w:type="page"/>
      </w:r>
    </w:p>
    <w:p>
      <w:pPr>
        <w:pStyle w:val="5"/>
        <w:spacing w:after="0" w:line="360" w:lineRule="auto"/>
        <w:ind w:left="0" w:right="0" w:firstLine="0"/>
        <w:jc w:val="center"/>
        <w:rPr>
          <w:rFonts w:ascii="宋体" w:hAnsi="宋体" w:eastAsia="宋体"/>
          <w:b/>
          <w:bCs/>
          <w:color w:val="auto"/>
          <w:sz w:val="36"/>
          <w:szCs w:val="24"/>
          <w:highlight w:val="none"/>
        </w:rPr>
      </w:pPr>
      <w:bookmarkStart w:id="44" w:name="_Toc31483"/>
      <w:bookmarkStart w:id="45" w:name="_Toc128141276"/>
      <w:bookmarkStart w:id="46" w:name="_Toc13510"/>
      <w:r>
        <w:rPr>
          <w:rFonts w:hint="eastAsia" w:ascii="黑体" w:hAnsi="黑体" w:eastAsia="黑体" w:cs="黑体"/>
          <w:b w:val="0"/>
          <w:bCs w:val="0"/>
          <w:color w:val="auto"/>
          <w:sz w:val="36"/>
          <w:szCs w:val="24"/>
          <w:highlight w:val="none"/>
          <w:lang w:val="en-US" w:eastAsia="zh-CN"/>
        </w:rPr>
        <w:t>二</w:t>
      </w:r>
      <w:r>
        <w:rPr>
          <w:rFonts w:hint="eastAsia" w:ascii="黑体" w:hAnsi="黑体" w:eastAsia="黑体" w:cs="黑体"/>
          <w:b w:val="0"/>
          <w:bCs w:val="0"/>
          <w:color w:val="auto"/>
          <w:sz w:val="36"/>
          <w:szCs w:val="24"/>
          <w:highlight w:val="none"/>
        </w:rPr>
        <w:t>、授权委托书</w:t>
      </w:r>
      <w:bookmarkEnd w:id="44"/>
      <w:bookmarkEnd w:id="45"/>
      <w:bookmarkEnd w:id="46"/>
      <w:r>
        <w:rPr>
          <w:rFonts w:hint="eastAsia" w:ascii="黑体" w:hAnsi="黑体" w:eastAsia="黑体" w:cs="黑体"/>
          <w:b w:val="0"/>
          <w:bCs w:val="0"/>
          <w:color w:val="auto"/>
          <w:sz w:val="36"/>
          <w:szCs w:val="24"/>
          <w:highlight w:val="none"/>
        </w:rPr>
        <w:t xml:space="preserve"> </w:t>
      </w:r>
    </w:p>
    <w:p>
      <w:pPr>
        <w:spacing w:after="181"/>
        <w:rPr>
          <w:rFonts w:ascii="宋体" w:hAnsi="宋体" w:eastAsia="宋体"/>
          <w:color w:val="auto"/>
          <w:sz w:val="24"/>
          <w:szCs w:val="24"/>
          <w:highlight w:val="none"/>
        </w:rPr>
      </w:pPr>
      <w:r>
        <w:rPr>
          <w:rFonts w:ascii="宋体" w:hAnsi="宋体" w:eastAsia="宋体" w:cs="Times New Roman"/>
          <w:color w:val="auto"/>
          <w:sz w:val="21"/>
          <w:highlight w:val="none"/>
        </w:rPr>
        <w:t xml:space="preserve"> </w:t>
      </w:r>
    </w:p>
    <w:p>
      <w:pPr>
        <w:spacing w:after="30" w:line="369" w:lineRule="auto"/>
        <w:ind w:right="197" w:firstLine="480" w:firstLineChars="2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（姓名）系</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参选</w:t>
      </w:r>
      <w:r>
        <w:rPr>
          <w:rFonts w:hint="eastAsia" w:ascii="仿宋_GB2312" w:hAnsi="仿宋_GB2312" w:eastAsia="仿宋_GB2312" w:cs="仿宋_GB2312"/>
          <w:color w:val="auto"/>
          <w:sz w:val="24"/>
          <w:szCs w:val="24"/>
          <w:highlight w:val="none"/>
        </w:rPr>
        <w:t>人名称）的</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人，现委托</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（姓名）为我方代理人。代理人根据授权，以我方名义签署、澄清确认、递交、撤回、修改</w:t>
      </w:r>
      <w:r>
        <w:rPr>
          <w:rFonts w:hint="eastAsia" w:ascii="仿宋_GB2312" w:hAnsi="仿宋_GB2312" w:eastAsia="仿宋_GB2312" w:cs="仿宋_GB2312"/>
          <w:b/>
          <w:bCs/>
          <w:color w:val="auto"/>
          <w:sz w:val="24"/>
          <w:szCs w:val="24"/>
          <w:highlight w:val="none"/>
          <w:u w:val="single"/>
          <w:lang w:val="en-US" w:eastAsia="zh-CN"/>
        </w:rPr>
        <w:t>四川蜀物兴川物流发展有限公司与深圳某国企买卖合同纠纷诉讼法律服务项目</w:t>
      </w:r>
      <w:r>
        <w:rPr>
          <w:rFonts w:hint="eastAsia" w:ascii="仿宋_GB2312" w:hAnsi="仿宋_GB2312" w:eastAsia="仿宋_GB2312" w:cs="仿宋_GB2312"/>
          <w:b w:val="0"/>
          <w:bCs w:val="0"/>
          <w:color w:val="auto"/>
          <w:sz w:val="24"/>
          <w:szCs w:val="24"/>
          <w:highlight w:val="none"/>
          <w:u w:val="none" w:color="auto"/>
          <w:lang w:val="en-US" w:eastAsia="zh-CN"/>
        </w:rPr>
        <w:t>比选响应</w:t>
      </w:r>
      <w:r>
        <w:rPr>
          <w:rFonts w:hint="eastAsia" w:ascii="仿宋_GB2312" w:hAnsi="仿宋_GB2312" w:eastAsia="仿宋_GB2312" w:cs="仿宋_GB2312"/>
          <w:color w:val="auto"/>
          <w:sz w:val="24"/>
          <w:szCs w:val="24"/>
          <w:highlight w:val="none"/>
        </w:rPr>
        <w:t xml:space="preserve">文件、签订合同和处理有关事宜，其法律后果由我方承担。 </w:t>
      </w:r>
    </w:p>
    <w:p>
      <w:pPr>
        <w:spacing w:after="149" w:line="265" w:lineRule="auto"/>
        <w:ind w:left="0" w:leftChars="0" w:right="103" w:firstLine="480" w:firstLineChars="200"/>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rPr>
        <w:t>委托期限：</w:t>
      </w:r>
      <w:r>
        <w:rPr>
          <w:rFonts w:hint="eastAsia" w:ascii="仿宋_GB2312" w:hAnsi="仿宋_GB2312" w:eastAsia="仿宋_GB2312" w:cs="仿宋_GB2312"/>
          <w:color w:val="auto"/>
          <w:sz w:val="24"/>
          <w:szCs w:val="24"/>
          <w:highlight w:val="none"/>
          <w:u w:val="none" w:color="auto"/>
        </w:rPr>
        <w:t>自本授权委托书签署之日起至</w:t>
      </w:r>
      <w:r>
        <w:rPr>
          <w:rFonts w:hint="eastAsia" w:ascii="仿宋_GB2312" w:hAnsi="仿宋_GB2312" w:eastAsia="仿宋_GB2312" w:cs="仿宋_GB2312"/>
          <w:color w:val="auto"/>
          <w:sz w:val="24"/>
          <w:szCs w:val="24"/>
          <w:highlight w:val="none"/>
          <w:u w:val="none" w:color="auto"/>
          <w:lang w:val="en-US" w:eastAsia="zh-CN"/>
        </w:rPr>
        <w:t>比选</w:t>
      </w:r>
      <w:r>
        <w:rPr>
          <w:rFonts w:hint="eastAsia" w:ascii="仿宋_GB2312" w:hAnsi="仿宋_GB2312" w:eastAsia="仿宋_GB2312" w:cs="仿宋_GB2312"/>
          <w:color w:val="auto"/>
          <w:sz w:val="24"/>
          <w:szCs w:val="24"/>
          <w:highlight w:val="none"/>
          <w:u w:val="none" w:color="auto"/>
        </w:rPr>
        <w:t>文件约定的“</w:t>
      </w:r>
      <w:r>
        <w:rPr>
          <w:rFonts w:hint="eastAsia" w:ascii="仿宋_GB2312" w:hAnsi="仿宋_GB2312" w:eastAsia="仿宋_GB2312" w:cs="仿宋_GB2312"/>
          <w:color w:val="auto"/>
          <w:sz w:val="24"/>
          <w:szCs w:val="24"/>
          <w:highlight w:val="none"/>
          <w:u w:val="none" w:color="auto"/>
          <w:lang w:val="en-US" w:eastAsia="zh-CN"/>
        </w:rPr>
        <w:t>比选</w:t>
      </w:r>
      <w:r>
        <w:rPr>
          <w:rFonts w:hint="eastAsia" w:ascii="仿宋_GB2312" w:hAnsi="仿宋_GB2312" w:eastAsia="仿宋_GB2312" w:cs="仿宋_GB2312"/>
          <w:color w:val="auto"/>
          <w:sz w:val="24"/>
          <w:szCs w:val="24"/>
          <w:highlight w:val="none"/>
          <w:u w:val="none" w:color="auto"/>
        </w:rPr>
        <w:t xml:space="preserve">有效期”结束为止。 </w:t>
      </w:r>
    </w:p>
    <w:p>
      <w:pPr>
        <w:spacing w:after="153" w:line="265" w:lineRule="auto"/>
        <w:ind w:left="430"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代理人无转委托权。 </w:t>
      </w:r>
    </w:p>
    <w:p>
      <w:pPr>
        <w:spacing w:after="184"/>
        <w:ind w:left="42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spacing w:after="153" w:line="265" w:lineRule="auto"/>
        <w:ind w:left="-5"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 xml:space="preserve">人身份证复印件及委托代理人身份证复印件 </w:t>
      </w:r>
    </w:p>
    <w:p>
      <w:pPr>
        <w:spacing w:after="18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spacing w:after="0" w:line="265" w:lineRule="auto"/>
        <w:ind w:left="-5"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注：本授权委托书需由</w:t>
      </w:r>
      <w:r>
        <w:rPr>
          <w:rFonts w:hint="eastAsia" w:ascii="仿宋_GB2312" w:hAnsi="仿宋_GB2312" w:eastAsia="仿宋_GB2312" w:cs="仿宋_GB2312"/>
          <w:color w:val="auto"/>
          <w:sz w:val="24"/>
          <w:szCs w:val="24"/>
          <w:highlight w:val="none"/>
          <w:lang w:val="en-US" w:eastAsia="zh-CN"/>
        </w:rPr>
        <w:t>参选人</w:t>
      </w:r>
      <w:r>
        <w:rPr>
          <w:rFonts w:hint="eastAsia" w:ascii="仿宋_GB2312" w:hAnsi="仿宋_GB2312" w:eastAsia="仿宋_GB2312" w:cs="仿宋_GB2312"/>
          <w:color w:val="auto"/>
          <w:sz w:val="24"/>
          <w:szCs w:val="24"/>
          <w:highlight w:val="none"/>
        </w:rPr>
        <w:t>加盖单位公章并由其</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 xml:space="preserve">人和委托代理人签字。 </w:t>
      </w:r>
    </w:p>
    <w:p>
      <w:pPr>
        <w:spacing w:after="151"/>
        <w:ind w:left="10" w:right="202"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spacing w:after="151"/>
        <w:ind w:left="10" w:right="202" w:hanging="10"/>
        <w:jc w:val="right"/>
        <w:rPr>
          <w:rFonts w:hint="eastAsia" w:ascii="仿宋_GB2312" w:hAnsi="仿宋_GB2312" w:eastAsia="仿宋_GB2312" w:cs="仿宋_GB2312"/>
          <w:color w:val="auto"/>
          <w:sz w:val="24"/>
          <w:szCs w:val="24"/>
          <w:highlight w:val="none"/>
        </w:rPr>
      </w:pPr>
    </w:p>
    <w:p>
      <w:pPr>
        <w:spacing w:after="151"/>
        <w:ind w:left="10" w:right="198" w:hanging="10"/>
        <w:jc w:val="right"/>
        <w:rPr>
          <w:rFonts w:hint="eastAsia" w:ascii="仿宋_GB2312" w:hAnsi="仿宋_GB2312" w:eastAsia="仿宋_GB2312" w:cs="仿宋_GB2312"/>
          <w:color w:val="auto"/>
          <w:sz w:val="24"/>
          <w:szCs w:val="24"/>
          <w:highlight w:val="none"/>
          <w:u w:val="single" w:color="000000"/>
        </w:rPr>
      </w:pPr>
      <w:bookmarkStart w:id="47" w:name="_Hlk58923230"/>
      <w:r>
        <w:rPr>
          <w:rFonts w:hint="eastAsia" w:ascii="仿宋_GB2312" w:hAnsi="仿宋_GB2312" w:eastAsia="仿宋_GB2312" w:cs="仿宋_GB2312"/>
          <w:color w:val="auto"/>
          <w:sz w:val="24"/>
          <w:szCs w:val="24"/>
          <w:highlight w:val="none"/>
          <w:u w:color="000000"/>
          <w:lang w:val="en-US" w:eastAsia="zh-CN"/>
        </w:rPr>
        <w:t>参</w:t>
      </w:r>
      <w:r>
        <w:rPr>
          <w:rFonts w:hint="eastAsia" w:ascii="仿宋_GB2312" w:hAnsi="仿宋_GB2312" w:eastAsia="仿宋_GB2312" w:cs="仿宋_GB2312"/>
          <w:color w:val="auto"/>
          <w:sz w:val="24"/>
          <w:szCs w:val="24"/>
          <w:highlight w:val="none"/>
          <w:u w:color="000000"/>
        </w:rPr>
        <w:t xml:space="preserve">  </w:t>
      </w:r>
      <w:r>
        <w:rPr>
          <w:rFonts w:hint="eastAsia" w:ascii="仿宋_GB2312" w:hAnsi="仿宋_GB2312" w:eastAsia="仿宋_GB2312" w:cs="仿宋_GB2312"/>
          <w:color w:val="auto"/>
          <w:sz w:val="24"/>
          <w:szCs w:val="24"/>
          <w:highlight w:val="none"/>
          <w:u w:color="000000"/>
          <w:lang w:val="en-US" w:eastAsia="zh-CN"/>
        </w:rPr>
        <w:t>选</w:t>
      </w:r>
      <w:r>
        <w:rPr>
          <w:rFonts w:hint="eastAsia" w:ascii="仿宋_GB2312" w:hAnsi="仿宋_GB2312" w:eastAsia="仿宋_GB2312" w:cs="仿宋_GB2312"/>
          <w:color w:val="auto"/>
          <w:sz w:val="24"/>
          <w:szCs w:val="24"/>
          <w:highlight w:val="none"/>
          <w:u w:color="000000"/>
        </w:rPr>
        <w:t xml:space="preserve">  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val="single" w:color="000000"/>
          <w:lang w:val="en-US" w:eastAsia="zh-CN"/>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color="000000"/>
        </w:rPr>
        <w:t>（盖章）</w:t>
      </w:r>
    </w:p>
    <w:p>
      <w:pPr>
        <w:wordWrap w:val="0"/>
        <w:spacing w:after="151"/>
        <w:ind w:left="10" w:right="198" w:hanging="10"/>
        <w:jc w:val="right"/>
        <w:rPr>
          <w:rFonts w:hint="eastAsia" w:ascii="仿宋_GB2312" w:hAnsi="仿宋_GB2312" w:eastAsia="仿宋_GB2312" w:cs="仿宋_GB2312"/>
          <w:color w:val="auto"/>
          <w:sz w:val="24"/>
          <w:szCs w:val="24"/>
          <w:highlight w:val="none"/>
          <w:u w:val="single" w:color="000000"/>
        </w:rPr>
      </w:pPr>
      <w:r>
        <w:rPr>
          <w:rFonts w:hint="eastAsia" w:ascii="仿宋_GB2312" w:hAnsi="仿宋_GB2312" w:eastAsia="仿宋_GB2312" w:cs="仿宋_GB2312"/>
          <w:color w:val="auto"/>
          <w:sz w:val="24"/>
          <w:szCs w:val="24"/>
          <w:highlight w:val="none"/>
          <w:u w:color="000000"/>
          <w:lang w:eastAsia="zh-CN"/>
        </w:rPr>
        <w:t>单位负责</w:t>
      </w:r>
      <w:r>
        <w:rPr>
          <w:rFonts w:hint="eastAsia" w:ascii="仿宋_GB2312" w:hAnsi="仿宋_GB2312" w:eastAsia="仿宋_GB2312" w:cs="仿宋_GB2312"/>
          <w:color w:val="auto"/>
          <w:sz w:val="24"/>
          <w:szCs w:val="24"/>
          <w:highlight w:val="none"/>
          <w:u w:color="000000"/>
        </w:rPr>
        <w:t xml:space="preserve">人：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签字）</w:t>
      </w:r>
    </w:p>
    <w:p>
      <w:pPr>
        <w:wordWrap w:val="0"/>
        <w:spacing w:after="151"/>
        <w:ind w:left="10" w:right="198" w:hanging="10"/>
        <w:jc w:val="right"/>
        <w:rPr>
          <w:rFonts w:hint="eastAsia" w:ascii="仿宋_GB2312" w:hAnsi="仿宋_GB2312" w:eastAsia="仿宋_GB2312" w:cs="仿宋_GB2312"/>
          <w:color w:val="auto"/>
          <w:sz w:val="24"/>
          <w:szCs w:val="24"/>
          <w:highlight w:val="none"/>
          <w:u w:color="000000"/>
        </w:rPr>
      </w:pPr>
      <w:r>
        <w:rPr>
          <w:rFonts w:hint="eastAsia" w:ascii="仿宋_GB2312" w:hAnsi="仿宋_GB2312" w:eastAsia="仿宋_GB2312" w:cs="仿宋_GB2312"/>
          <w:color w:val="auto"/>
          <w:sz w:val="24"/>
          <w:szCs w:val="24"/>
          <w:highlight w:val="none"/>
          <w:u w:color="000000"/>
        </w:rPr>
        <w:t>身份证号码：</w:t>
      </w:r>
      <w:r>
        <w:rPr>
          <w:rFonts w:hint="eastAsia" w:ascii="仿宋_GB2312" w:hAnsi="仿宋_GB2312" w:eastAsia="仿宋_GB2312" w:cs="仿宋_GB2312"/>
          <w:color w:val="auto"/>
          <w:sz w:val="24"/>
          <w:szCs w:val="24"/>
          <w:highlight w:val="none"/>
          <w:u w:val="single" w:color="000000"/>
        </w:rPr>
        <w:t xml:space="preserve">                                                       </w:t>
      </w:r>
    </w:p>
    <w:p>
      <w:pPr>
        <w:wordWrap w:val="0"/>
        <w:spacing w:after="151"/>
        <w:ind w:left="10" w:right="198" w:hanging="10"/>
        <w:jc w:val="right"/>
        <w:rPr>
          <w:rFonts w:hint="eastAsia" w:ascii="仿宋_GB2312" w:hAnsi="仿宋_GB2312" w:eastAsia="仿宋_GB2312" w:cs="仿宋_GB2312"/>
          <w:color w:val="auto"/>
          <w:sz w:val="24"/>
          <w:szCs w:val="24"/>
          <w:highlight w:val="none"/>
          <w:u w:val="single" w:color="000000"/>
        </w:rPr>
      </w:pPr>
      <w:r>
        <w:rPr>
          <w:rFonts w:hint="eastAsia" w:ascii="仿宋_GB2312" w:hAnsi="仿宋_GB2312" w:eastAsia="仿宋_GB2312" w:cs="仿宋_GB2312"/>
          <w:color w:val="auto"/>
          <w:sz w:val="24"/>
          <w:szCs w:val="24"/>
          <w:highlight w:val="none"/>
          <w:u w:color="000000"/>
        </w:rPr>
        <w:t xml:space="preserve">委托代理人：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color="000000"/>
        </w:rPr>
        <w:t>（签字）</w:t>
      </w:r>
    </w:p>
    <w:p>
      <w:pPr>
        <w:wordWrap w:val="0"/>
        <w:spacing w:after="151"/>
        <w:ind w:left="10" w:right="198" w:hanging="10"/>
        <w:jc w:val="right"/>
        <w:rPr>
          <w:rFonts w:hint="eastAsia" w:ascii="仿宋_GB2312" w:hAnsi="仿宋_GB2312" w:eastAsia="仿宋_GB2312" w:cs="仿宋_GB2312"/>
          <w:color w:val="auto"/>
          <w:sz w:val="24"/>
          <w:szCs w:val="24"/>
          <w:highlight w:val="none"/>
          <w:u w:color="000000"/>
        </w:rPr>
      </w:pPr>
      <w:r>
        <w:rPr>
          <w:rFonts w:hint="eastAsia" w:ascii="仿宋_GB2312" w:hAnsi="仿宋_GB2312" w:eastAsia="仿宋_GB2312" w:cs="仿宋_GB2312"/>
          <w:color w:val="auto"/>
          <w:sz w:val="24"/>
          <w:szCs w:val="24"/>
          <w:highlight w:val="none"/>
          <w:u w:color="000000"/>
        </w:rPr>
        <w:t>身份证号码：</w:t>
      </w:r>
      <w:r>
        <w:rPr>
          <w:rFonts w:hint="eastAsia" w:ascii="仿宋_GB2312" w:hAnsi="仿宋_GB2312" w:eastAsia="仿宋_GB2312" w:cs="仿宋_GB2312"/>
          <w:color w:val="auto"/>
          <w:sz w:val="24"/>
          <w:szCs w:val="24"/>
          <w:highlight w:val="none"/>
          <w:u w:val="single" w:color="000000"/>
        </w:rPr>
        <w:t xml:space="preserve">                                                       </w:t>
      </w:r>
    </w:p>
    <w:bookmarkEnd w:id="47"/>
    <w:p>
      <w:pPr>
        <w:spacing w:after="151"/>
        <w:ind w:left="10" w:right="202" w:hanging="10"/>
        <w:jc w:val="right"/>
        <w:rPr>
          <w:rFonts w:hint="eastAsia" w:ascii="仿宋_GB2312" w:hAnsi="仿宋_GB2312" w:eastAsia="仿宋_GB2312" w:cs="仿宋_GB2312"/>
          <w:color w:val="auto"/>
          <w:sz w:val="24"/>
          <w:szCs w:val="24"/>
          <w:highlight w:val="none"/>
          <w:u w:val="single" w:color="000000"/>
        </w:rPr>
      </w:pPr>
    </w:p>
    <w:p>
      <w:pPr>
        <w:spacing w:after="151"/>
        <w:ind w:left="10" w:right="202" w:hanging="10"/>
        <w:jc w:val="right"/>
        <w:rPr>
          <w:rFonts w:hint="eastAsia" w:ascii="仿宋_GB2312" w:hAnsi="仿宋_GB2312" w:eastAsia="仿宋_GB2312" w:cs="仿宋_GB2312"/>
          <w:color w:val="auto"/>
          <w:sz w:val="24"/>
          <w:szCs w:val="24"/>
          <w:highlight w:val="none"/>
          <w:u w:val="single" w:color="000000"/>
        </w:rPr>
      </w:pPr>
      <w:r>
        <w:rPr>
          <w:rFonts w:hint="eastAsia" w:ascii="仿宋_GB2312" w:hAnsi="仿宋_GB2312" w:eastAsia="仿宋_GB2312" w:cs="仿宋_GB2312"/>
          <w:color w:val="auto"/>
          <w:sz w:val="24"/>
          <w:szCs w:val="24"/>
          <w:highlight w:val="none"/>
          <w:u w:val="single" w:color="000000"/>
        </w:rPr>
        <w:t xml:space="preserve">                                                              </w:t>
      </w:r>
    </w:p>
    <w:p>
      <w:pPr>
        <w:spacing w:after="151"/>
        <w:ind w:left="10" w:right="202"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日 </w:t>
      </w:r>
    </w:p>
    <w:p>
      <w:pPr>
        <w:spacing w:after="0"/>
        <w:ind w:right="161"/>
        <w:jc w:val="right"/>
        <w:rPr>
          <w:rFonts w:ascii="宋体" w:hAnsi="宋体" w:eastAsia="宋体"/>
          <w:color w:val="auto"/>
          <w:highlight w:val="none"/>
        </w:rPr>
      </w:pPr>
      <w:r>
        <w:rPr>
          <w:rFonts w:ascii="宋体" w:hAnsi="宋体" w:eastAsia="宋体" w:cs="Times New Roman"/>
          <w:color w:val="auto"/>
          <w:sz w:val="21"/>
          <w:highlight w:val="none"/>
        </w:rPr>
        <w:t xml:space="preserve"> </w:t>
      </w:r>
    </w:p>
    <w:p>
      <w:pPr>
        <w:spacing w:after="0" w:line="240" w:lineRule="auto"/>
        <w:rPr>
          <w:rFonts w:ascii="宋体" w:hAnsi="宋体" w:eastAsia="宋体" w:cs="黑体"/>
          <w:color w:val="auto"/>
          <w:sz w:val="32"/>
          <w:highlight w:val="none"/>
        </w:rPr>
      </w:pPr>
      <w:r>
        <w:rPr>
          <w:rFonts w:ascii="宋体" w:hAnsi="宋体" w:eastAsia="宋体"/>
          <w:color w:val="auto"/>
          <w:sz w:val="32"/>
          <w:highlight w:val="none"/>
        </w:rPr>
        <w:br w:type="page"/>
      </w:r>
    </w:p>
    <w:p>
      <w:pPr>
        <w:pStyle w:val="5"/>
        <w:spacing w:after="0" w:line="360" w:lineRule="auto"/>
        <w:ind w:left="0" w:right="0" w:firstLine="0"/>
        <w:jc w:val="center"/>
        <w:rPr>
          <w:rFonts w:ascii="宋体" w:hAnsi="宋体" w:eastAsia="宋体"/>
          <w:color w:val="auto"/>
          <w:sz w:val="32"/>
          <w:highlight w:val="none"/>
        </w:rPr>
        <w:sectPr>
          <w:footerReference r:id="rId11" w:type="default"/>
          <w:pgSz w:w="12240" w:h="15840"/>
          <w:pgMar w:top="1440" w:right="1440" w:bottom="1440" w:left="1440" w:header="720" w:footer="720" w:gutter="0"/>
          <w:pgNumType w:fmt="decimal"/>
          <w:cols w:space="720" w:num="1"/>
        </w:sectPr>
      </w:pPr>
      <w:bookmarkStart w:id="48" w:name="_Toc128141277"/>
      <w:bookmarkStart w:id="49" w:name="_Toc19029"/>
      <w:bookmarkStart w:id="50" w:name="_Toc16491"/>
    </w:p>
    <w:bookmarkEnd w:id="48"/>
    <w:bookmarkEnd w:id="49"/>
    <w:bookmarkEnd w:id="50"/>
    <w:p>
      <w:pPr>
        <w:pStyle w:val="5"/>
        <w:spacing w:after="0" w:line="360" w:lineRule="auto"/>
        <w:ind w:left="0" w:right="0" w:firstLine="0"/>
        <w:jc w:val="center"/>
        <w:rPr>
          <w:rFonts w:hint="eastAsia" w:ascii="黑体" w:hAnsi="黑体" w:eastAsia="黑体" w:cs="黑体"/>
          <w:b w:val="0"/>
          <w:bCs w:val="0"/>
          <w:color w:val="auto"/>
          <w:sz w:val="36"/>
          <w:szCs w:val="24"/>
          <w:highlight w:val="none"/>
        </w:rPr>
      </w:pPr>
      <w:bookmarkStart w:id="51" w:name="_Toc25804"/>
      <w:bookmarkStart w:id="52" w:name="_Toc3651"/>
      <w:bookmarkStart w:id="53" w:name="_Toc128141278"/>
      <w:r>
        <w:rPr>
          <w:rFonts w:hint="eastAsia" w:ascii="黑体" w:hAnsi="黑体" w:eastAsia="黑体" w:cs="黑体"/>
          <w:b w:val="0"/>
          <w:bCs w:val="0"/>
          <w:color w:val="auto"/>
          <w:sz w:val="36"/>
          <w:szCs w:val="24"/>
          <w:highlight w:val="none"/>
        </w:rPr>
        <w:t>三、资格审查资料</w:t>
      </w:r>
      <w:bookmarkEnd w:id="51"/>
      <w:bookmarkEnd w:id="52"/>
      <w:bookmarkEnd w:id="53"/>
      <w:r>
        <w:rPr>
          <w:rFonts w:hint="eastAsia" w:ascii="黑体" w:hAnsi="黑体" w:eastAsia="黑体" w:cs="黑体"/>
          <w:b w:val="0"/>
          <w:bCs w:val="0"/>
          <w:color w:val="auto"/>
          <w:sz w:val="36"/>
          <w:szCs w:val="24"/>
          <w:highlight w:val="none"/>
        </w:rPr>
        <w:t xml:space="preserve"> </w:t>
      </w:r>
    </w:p>
    <w:p>
      <w:pPr>
        <w:pStyle w:val="7"/>
        <w:spacing w:after="0"/>
        <w:ind w:left="132" w:right="0"/>
        <w:jc w:val="center"/>
        <w:rPr>
          <w:rFonts w:hint="eastAsia" w:ascii="方正小标宋简体" w:hAnsi="方正小标宋简体" w:eastAsia="方正小标宋简体" w:cs="方正小标宋简体"/>
          <w:color w:val="auto"/>
          <w:highlight w:val="none"/>
        </w:rPr>
      </w:pPr>
      <w:bookmarkStart w:id="54" w:name="_Toc128141279"/>
      <w:bookmarkStart w:id="55" w:name="_Toc19366"/>
      <w:bookmarkStart w:id="56" w:name="_Toc16506"/>
      <w:r>
        <w:rPr>
          <w:rFonts w:hint="eastAsia" w:ascii="方正小标宋简体" w:hAnsi="方正小标宋简体" w:eastAsia="方正小标宋简体" w:cs="方正小标宋简体"/>
          <w:color w:val="auto"/>
          <w:highlight w:val="none"/>
        </w:rPr>
        <w:t>（一）基本情况表</w:t>
      </w:r>
      <w:bookmarkEnd w:id="54"/>
      <w:bookmarkEnd w:id="55"/>
      <w:bookmarkEnd w:id="56"/>
    </w:p>
    <w:tbl>
      <w:tblPr>
        <w:tblStyle w:val="44"/>
        <w:tblW w:w="9259" w:type="dxa"/>
        <w:tblInd w:w="-122" w:type="dxa"/>
        <w:tblLayout w:type="autofit"/>
        <w:tblCellMar>
          <w:top w:w="0" w:type="dxa"/>
          <w:left w:w="108" w:type="dxa"/>
          <w:bottom w:w="46" w:type="dxa"/>
          <w:right w:w="43" w:type="dxa"/>
        </w:tblCellMar>
      </w:tblPr>
      <w:tblGrid>
        <w:gridCol w:w="2581"/>
        <w:gridCol w:w="945"/>
        <w:gridCol w:w="1795"/>
        <w:gridCol w:w="1202"/>
        <w:gridCol w:w="2736"/>
      </w:tblGrid>
      <w:tr>
        <w:tblPrEx>
          <w:tblCellMar>
            <w:top w:w="0" w:type="dxa"/>
            <w:left w:w="108" w:type="dxa"/>
            <w:bottom w:w="46" w:type="dxa"/>
            <w:right w:w="43" w:type="dxa"/>
          </w:tblCellMar>
        </w:tblPrEx>
        <w:trPr>
          <w:trHeight w:val="756" w:hRule="atLeast"/>
        </w:trPr>
        <w:tc>
          <w:tcPr>
            <w:tcW w:w="2581"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参选人</w:t>
            </w:r>
            <w:r>
              <w:rPr>
                <w:rFonts w:hint="eastAsia" w:ascii="仿宋_GB2312" w:hAnsi="仿宋_GB2312" w:eastAsia="仿宋_GB2312" w:cs="仿宋_GB2312"/>
                <w:color w:val="auto"/>
                <w:sz w:val="24"/>
                <w:szCs w:val="24"/>
                <w:highlight w:val="none"/>
              </w:rPr>
              <w:t>名称</w:t>
            </w:r>
          </w:p>
        </w:tc>
        <w:tc>
          <w:tcPr>
            <w:tcW w:w="6678" w:type="dxa"/>
            <w:gridSpan w:val="4"/>
            <w:tcBorders>
              <w:top w:val="single" w:color="000000" w:sz="4" w:space="0"/>
              <w:left w:val="single" w:color="000000" w:sz="4" w:space="0"/>
              <w:bottom w:val="single" w:color="000000" w:sz="4" w:space="0"/>
              <w:right w:val="single" w:color="000000" w:sz="4" w:space="0"/>
            </w:tcBorders>
          </w:tcPr>
          <w:p>
            <w:pPr>
              <w:spacing w:after="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tc>
      </w:tr>
      <w:tr>
        <w:tblPrEx>
          <w:tblCellMar>
            <w:top w:w="0" w:type="dxa"/>
            <w:left w:w="108" w:type="dxa"/>
            <w:bottom w:w="46" w:type="dxa"/>
            <w:right w:w="43" w:type="dxa"/>
          </w:tblCellMar>
        </w:tblPrEx>
        <w:trPr>
          <w:trHeight w:val="788" w:hRule="atLeast"/>
        </w:trPr>
        <w:tc>
          <w:tcPr>
            <w:tcW w:w="2581"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统一社会信用编码</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rPr>
            </w:pPr>
          </w:p>
        </w:tc>
      </w:tr>
      <w:tr>
        <w:tblPrEx>
          <w:tblCellMar>
            <w:top w:w="0" w:type="dxa"/>
            <w:left w:w="108" w:type="dxa"/>
            <w:bottom w:w="46" w:type="dxa"/>
            <w:right w:w="43" w:type="dxa"/>
          </w:tblCellMar>
        </w:tblPrEx>
        <w:trPr>
          <w:trHeight w:val="788" w:hRule="atLeast"/>
        </w:trPr>
        <w:tc>
          <w:tcPr>
            <w:tcW w:w="2581"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成立日期</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rPr>
            </w:pPr>
          </w:p>
        </w:tc>
      </w:tr>
      <w:tr>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注册地址</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rPr>
            </w:pPr>
          </w:p>
        </w:tc>
      </w:tr>
      <w:tr>
        <w:tblPrEx>
          <w:tblCellMar>
            <w:top w:w="0" w:type="dxa"/>
            <w:left w:w="108" w:type="dxa"/>
            <w:bottom w:w="46" w:type="dxa"/>
            <w:right w:w="43" w:type="dxa"/>
          </w:tblCellMar>
        </w:tblPrEx>
        <w:trPr>
          <w:trHeight w:val="541" w:hRule="atLeast"/>
        </w:trPr>
        <w:tc>
          <w:tcPr>
            <w:tcW w:w="2581"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注册资本</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rPr>
            </w:pPr>
          </w:p>
        </w:tc>
      </w:tr>
      <w:tr>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专职律师人数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rPr>
            </w:pPr>
          </w:p>
        </w:tc>
      </w:tr>
      <w:tr>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基本账户开户银行</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rPr>
            </w:pPr>
          </w:p>
        </w:tc>
      </w:tr>
      <w:tr>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基本账户银行账号</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rPr>
            </w:pPr>
          </w:p>
        </w:tc>
      </w:tr>
      <w:tr>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律所荣誉</w:t>
            </w:r>
          </w:p>
          <w:p>
            <w:pPr>
              <w:spacing w:after="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（含所获荣誉级别及名称）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rPr>
            </w:pPr>
          </w:p>
        </w:tc>
      </w:tr>
      <w:tr>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人</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 名</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rPr>
            </w:pPr>
          </w:p>
        </w:tc>
        <w:tc>
          <w:tcPr>
            <w:tcW w:w="120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电</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eastAsia="zh-CN"/>
              </w:rPr>
              <w:t>话</w:t>
            </w:r>
          </w:p>
        </w:tc>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rPr>
            </w:pPr>
          </w:p>
        </w:tc>
      </w:tr>
      <w:tr>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联系方式</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联系人</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rPr>
            </w:pPr>
          </w:p>
        </w:tc>
        <w:tc>
          <w:tcPr>
            <w:tcW w:w="120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电 话</w:t>
            </w:r>
          </w:p>
        </w:tc>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rPr>
            </w:pPr>
          </w:p>
        </w:tc>
      </w:tr>
      <w:tr>
        <w:tblPrEx>
          <w:tblCellMar>
            <w:top w:w="0" w:type="dxa"/>
            <w:left w:w="108" w:type="dxa"/>
            <w:bottom w:w="46" w:type="dxa"/>
            <w:right w:w="43" w:type="dxa"/>
          </w:tblCellMar>
        </w:tblPrEx>
        <w:trPr>
          <w:trHeight w:val="662" w:hRule="atLeast"/>
        </w:trPr>
        <w:tc>
          <w:tcPr>
            <w:tcW w:w="2581"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c>
          <w:tcPr>
            <w:tcW w:w="6678" w:type="dxa"/>
            <w:gridSpan w:val="4"/>
            <w:tcBorders>
              <w:top w:val="single" w:color="000000" w:sz="4" w:space="0"/>
              <w:left w:val="single" w:color="000000" w:sz="4" w:space="0"/>
              <w:bottom w:val="single" w:color="000000" w:sz="4" w:space="0"/>
              <w:right w:val="single" w:color="000000" w:sz="4" w:space="0"/>
            </w:tcBorders>
          </w:tcPr>
          <w:p>
            <w:pPr>
              <w:spacing w:after="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tc>
      </w:tr>
    </w:tbl>
    <w:p>
      <w:pPr>
        <w:spacing w:after="22" w:line="374" w:lineRule="auto"/>
        <w:ind w:left="-5" w:right="103" w:hanging="10"/>
        <w:rPr>
          <w:rFonts w:hint="eastAsia" w:ascii="仿宋_GB2312" w:hAnsi="仿宋_GB2312" w:eastAsia="仿宋_GB2312" w:cs="仿宋_GB2312"/>
          <w:color w:val="auto"/>
          <w:sz w:val="21"/>
          <w:highlight w:val="none"/>
        </w:rPr>
      </w:pPr>
    </w:p>
    <w:p>
      <w:pPr>
        <w:spacing w:after="22" w:line="374" w:lineRule="auto"/>
        <w:ind w:left="-5" w:right="103" w:hanging="10"/>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注：</w:t>
      </w:r>
      <w:r>
        <w:rPr>
          <w:rFonts w:hint="eastAsia" w:ascii="仿宋_GB2312" w:hAnsi="仿宋_GB2312" w:eastAsia="仿宋_GB2312" w:cs="仿宋_GB2312"/>
          <w:color w:val="auto"/>
          <w:sz w:val="21"/>
          <w:highlight w:val="none"/>
          <w:lang w:val="en-US" w:eastAsia="zh-CN"/>
        </w:rPr>
        <w:t>1.参选人</w:t>
      </w:r>
      <w:r>
        <w:rPr>
          <w:rFonts w:hint="eastAsia" w:ascii="仿宋_GB2312" w:hAnsi="仿宋_GB2312" w:eastAsia="仿宋_GB2312" w:cs="仿宋_GB2312"/>
          <w:color w:val="auto"/>
          <w:sz w:val="21"/>
          <w:highlight w:val="none"/>
        </w:rPr>
        <w:t>应在本表后附</w:t>
      </w:r>
      <w:r>
        <w:rPr>
          <w:rFonts w:hint="eastAsia" w:ascii="仿宋_GB2312" w:hAnsi="仿宋_GB2312" w:eastAsia="仿宋_GB2312" w:cs="仿宋_GB2312"/>
          <w:color w:val="auto"/>
          <w:sz w:val="21"/>
          <w:highlight w:val="none"/>
          <w:lang w:val="en-US" w:eastAsia="zh-CN"/>
        </w:rPr>
        <w:t>律所执业许可证</w:t>
      </w:r>
      <w:r>
        <w:rPr>
          <w:rFonts w:hint="eastAsia" w:ascii="仿宋_GB2312" w:hAnsi="仿宋_GB2312" w:eastAsia="仿宋_GB2312" w:cs="仿宋_GB2312"/>
          <w:color w:val="auto"/>
          <w:sz w:val="21"/>
          <w:highlight w:val="none"/>
        </w:rPr>
        <w:t xml:space="preserve">。 </w:t>
      </w:r>
    </w:p>
    <w:p>
      <w:pPr>
        <w:spacing w:after="22" w:line="374" w:lineRule="auto"/>
        <w:ind w:left="-5" w:right="103" w:hanging="10"/>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 xml:space="preserve">    2.参选人在本表后附本律所荣誉证书（如有）。</w:t>
      </w:r>
    </w:p>
    <w:p>
      <w:pPr>
        <w:spacing w:after="22" w:line="374" w:lineRule="auto"/>
        <w:ind w:right="103" w:firstLine="42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1"/>
          <w:highlight w:val="none"/>
          <w:lang w:val="en-US" w:eastAsia="zh-CN"/>
        </w:rPr>
        <w:t>3.本表需加盖单位公章。</w:t>
      </w:r>
    </w:p>
    <w:p>
      <w:pPr>
        <w:spacing w:after="0" w:line="240" w:lineRule="auto"/>
        <w:jc w:val="center"/>
        <w:rPr>
          <w:rFonts w:ascii="宋体" w:hAnsi="宋体" w:eastAsia="宋体" w:cs="Times New Roman"/>
          <w:color w:val="auto"/>
          <w:sz w:val="21"/>
          <w:highlight w:val="none"/>
        </w:rPr>
      </w:pPr>
      <w:bookmarkStart w:id="57" w:name="_Toc13608"/>
      <w:bookmarkStart w:id="58" w:name="_Toc9575"/>
      <w:r>
        <w:rPr>
          <w:rFonts w:ascii="宋体" w:hAnsi="宋体" w:eastAsia="宋体" w:cs="Times New Roman"/>
          <w:color w:val="auto"/>
          <w:sz w:val="21"/>
          <w:highlight w:val="none"/>
        </w:rPr>
        <w:br w:type="page"/>
      </w:r>
      <w:bookmarkEnd w:id="57"/>
      <w:bookmarkEnd w:id="58"/>
      <w:bookmarkStart w:id="59" w:name="_Toc123682"/>
    </w:p>
    <w:p>
      <w:pPr>
        <w:pStyle w:val="8"/>
        <w:spacing w:after="0" w:line="360" w:lineRule="auto"/>
        <w:ind w:left="0" w:right="0"/>
        <w:jc w:val="center"/>
        <w:rPr>
          <w:rFonts w:ascii="宋体" w:hAnsi="宋体" w:eastAsia="宋体"/>
          <w:b/>
          <w:color w:val="auto"/>
          <w:highlight w:val="none"/>
        </w:rPr>
        <w:sectPr>
          <w:pgSz w:w="12240" w:h="15840"/>
          <w:pgMar w:top="1440" w:right="1440" w:bottom="1440" w:left="1440" w:header="720" w:footer="720" w:gutter="0"/>
          <w:pgNumType w:fmt="decimal"/>
          <w:cols w:space="720" w:num="1"/>
        </w:sectPr>
      </w:pPr>
    </w:p>
    <w:p>
      <w:pPr>
        <w:pStyle w:val="7"/>
        <w:spacing w:after="0"/>
        <w:ind w:left="132" w:right="0"/>
        <w:jc w:val="center"/>
        <w:rPr>
          <w:rFonts w:hint="eastAsia" w:ascii="方正小标宋简体" w:hAnsi="方正小标宋简体" w:eastAsia="方正小标宋简体" w:cs="方正小标宋简体"/>
          <w:color w:val="auto"/>
          <w:highlight w:val="none"/>
        </w:rPr>
      </w:pPr>
      <w:r>
        <w:rPr>
          <w:rFonts w:hint="eastAsia" w:ascii="方正小标宋简体" w:hAnsi="方正小标宋简体" w:eastAsia="方正小标宋简体" w:cs="方正小标宋简体"/>
          <w:color w:val="auto"/>
          <w:highlight w:val="none"/>
        </w:rPr>
        <w:t>（</w:t>
      </w:r>
      <w:r>
        <w:rPr>
          <w:rFonts w:hint="eastAsia" w:ascii="方正小标宋简体" w:hAnsi="方正小标宋简体" w:eastAsia="方正小标宋简体" w:cs="方正小标宋简体"/>
          <w:color w:val="auto"/>
          <w:highlight w:val="none"/>
          <w:lang w:val="en-US" w:eastAsia="zh-CN"/>
        </w:rPr>
        <w:t>二</w:t>
      </w:r>
      <w:r>
        <w:rPr>
          <w:rFonts w:hint="eastAsia" w:ascii="方正小标宋简体" w:hAnsi="方正小标宋简体" w:eastAsia="方正小标宋简体" w:cs="方正小标宋简体"/>
          <w:color w:val="auto"/>
          <w:highlight w:val="none"/>
        </w:rPr>
        <w:t>）</w:t>
      </w:r>
      <w:r>
        <w:rPr>
          <w:rFonts w:hint="eastAsia" w:ascii="方正小标宋简体" w:hAnsi="方正小标宋简体" w:eastAsia="方正小标宋简体" w:cs="方正小标宋简体"/>
          <w:color w:val="auto"/>
          <w:highlight w:val="none"/>
          <w:lang w:val="en-US" w:eastAsia="zh-CN"/>
        </w:rPr>
        <w:t>律所业绩</w:t>
      </w:r>
      <w:r>
        <w:rPr>
          <w:rFonts w:hint="eastAsia" w:ascii="方正小标宋简体" w:hAnsi="方正小标宋简体" w:eastAsia="方正小标宋简体" w:cs="方正小标宋简体"/>
          <w:color w:val="auto"/>
          <w:highlight w:val="none"/>
        </w:rPr>
        <w:t xml:space="preserve">汇总表 </w:t>
      </w:r>
    </w:p>
    <w:tbl>
      <w:tblPr>
        <w:tblStyle w:val="30"/>
        <w:tblW w:w="13009" w:type="dxa"/>
        <w:jc w:val="center"/>
        <w:tblLayout w:type="fixed"/>
        <w:tblCellMar>
          <w:top w:w="0" w:type="dxa"/>
          <w:left w:w="110" w:type="dxa"/>
          <w:bottom w:w="46" w:type="dxa"/>
          <w:right w:w="60" w:type="dxa"/>
        </w:tblCellMar>
      </w:tblPr>
      <w:tblGrid>
        <w:gridCol w:w="770"/>
        <w:gridCol w:w="2197"/>
        <w:gridCol w:w="1613"/>
        <w:gridCol w:w="3330"/>
        <w:gridCol w:w="2340"/>
        <w:gridCol w:w="1683"/>
        <w:gridCol w:w="1076"/>
      </w:tblGrid>
      <w:tr>
        <w:tblPrEx>
          <w:tblCellMar>
            <w:top w:w="0" w:type="dxa"/>
            <w:left w:w="110" w:type="dxa"/>
            <w:bottom w:w="46" w:type="dxa"/>
            <w:right w:w="60" w:type="dxa"/>
          </w:tblCellMar>
        </w:tblPrEx>
        <w:trPr>
          <w:trHeight w:val="1085"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highlight w:val="none"/>
                <w:lang w:val="en-US" w:eastAsia="zh-CN"/>
              </w:rPr>
            </w:pPr>
          </w:p>
          <w:p>
            <w:pPr>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序号</w:t>
            </w:r>
          </w:p>
        </w:tc>
        <w:tc>
          <w:tcPr>
            <w:tcW w:w="2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highlight w:val="none"/>
                <w:lang w:val="en-US" w:eastAsia="zh-CN"/>
              </w:rPr>
            </w:pPr>
          </w:p>
          <w:p>
            <w:pPr>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客户名称</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highlight w:val="none"/>
                <w:lang w:val="en-US" w:eastAsia="zh-CN"/>
              </w:rPr>
            </w:pPr>
          </w:p>
          <w:p>
            <w:pPr>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客户单位性质</w:t>
            </w:r>
          </w:p>
        </w:tc>
        <w:tc>
          <w:tcPr>
            <w:tcW w:w="33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highlight w:val="none"/>
                <w:lang w:val="en-US" w:eastAsia="zh-CN"/>
              </w:rPr>
            </w:pPr>
          </w:p>
          <w:p>
            <w:pPr>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代理律所名称</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after="0"/>
              <w:ind w:left="36"/>
              <w:jc w:val="center"/>
              <w:rPr>
                <w:rFonts w:hint="eastAsia" w:ascii="仿宋_GB2312" w:hAnsi="仿宋_GB2312" w:eastAsia="仿宋_GB2312" w:cs="仿宋_GB2312"/>
                <w:color w:val="auto"/>
                <w:highlight w:val="none"/>
                <w:lang w:val="en-US" w:eastAsia="zh-CN"/>
              </w:rPr>
            </w:pPr>
          </w:p>
          <w:p>
            <w:pPr>
              <w:spacing w:after="0"/>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主办律师</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after="0"/>
              <w:ind w:left="36"/>
              <w:jc w:val="center"/>
              <w:rPr>
                <w:rFonts w:hint="eastAsia" w:ascii="仿宋_GB2312" w:hAnsi="仿宋_GB2312" w:eastAsia="仿宋_GB2312" w:cs="仿宋_GB2312"/>
                <w:color w:val="auto"/>
                <w:highlight w:val="none"/>
                <w:lang w:val="en-US" w:eastAsia="zh-CN"/>
              </w:rPr>
            </w:pPr>
          </w:p>
          <w:p>
            <w:pPr>
              <w:spacing w:after="0"/>
              <w:ind w:left="36"/>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委托合同或裁判文书名称</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after="0"/>
              <w:ind w:left="115"/>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文书出具时间</w:t>
            </w:r>
          </w:p>
        </w:tc>
      </w:tr>
      <w:tr>
        <w:tblPrEx>
          <w:tblCellMar>
            <w:top w:w="0" w:type="dxa"/>
            <w:left w:w="110" w:type="dxa"/>
            <w:bottom w:w="46" w:type="dxa"/>
            <w:right w:w="60" w:type="dxa"/>
          </w:tblCellMar>
        </w:tblPrEx>
        <w:trPr>
          <w:trHeight w:val="555" w:hRule="atLeast"/>
          <w:jc w:val="center"/>
        </w:trPr>
        <w:tc>
          <w:tcPr>
            <w:tcW w:w="770" w:type="dxa"/>
            <w:tcBorders>
              <w:top w:val="single" w:color="auto" w:sz="4" w:space="0"/>
              <w:left w:val="single" w:color="000000" w:sz="4" w:space="0"/>
              <w:bottom w:val="single" w:color="000000" w:sz="4" w:space="0"/>
              <w:right w:val="single" w:color="000000" w:sz="4" w:space="0"/>
            </w:tcBorders>
            <w:noWrap w:val="0"/>
            <w:vAlign w:val="bottom"/>
          </w:tcPr>
          <w:p>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auto" w:sz="4" w:space="0"/>
              <w:left w:val="single" w:color="000000" w:sz="4" w:space="0"/>
              <w:bottom w:val="single" w:color="000000" w:sz="4" w:space="0"/>
              <w:right w:val="single" w:color="000000" w:sz="4" w:space="0"/>
            </w:tcBorders>
            <w:noWrap w:val="0"/>
            <w:vAlign w:val="bottom"/>
          </w:tcPr>
          <w:p>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auto"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auto"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auto" w:sz="4" w:space="0"/>
              <w:left w:val="single" w:color="000000" w:sz="4" w:space="0"/>
              <w:bottom w:val="single" w:color="000000" w:sz="4" w:space="0"/>
              <w:right w:val="single" w:color="000000" w:sz="4" w:space="0"/>
            </w:tcBorders>
            <w:noWrap w:val="0"/>
            <w:vAlign w:val="bottom"/>
          </w:tcPr>
          <w:p>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auto" w:sz="4" w:space="0"/>
              <w:left w:val="single" w:color="000000" w:sz="4" w:space="0"/>
              <w:bottom w:val="single" w:color="000000" w:sz="4" w:space="0"/>
              <w:right w:val="single" w:color="000000" w:sz="4" w:space="0"/>
            </w:tcBorders>
            <w:noWrap w:val="0"/>
            <w:vAlign w:val="bottom"/>
          </w:tcPr>
          <w:p>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auto"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tblPrEx>
          <w:tblCellMar>
            <w:top w:w="0" w:type="dxa"/>
            <w:left w:w="110" w:type="dxa"/>
            <w:bottom w:w="46" w:type="dxa"/>
            <w:right w:w="60" w:type="dxa"/>
          </w:tblCellMar>
        </w:tblPrEx>
        <w:trPr>
          <w:trHeight w:val="556"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tblPrEx>
          <w:tblCellMar>
            <w:top w:w="0" w:type="dxa"/>
            <w:left w:w="110" w:type="dxa"/>
            <w:bottom w:w="46" w:type="dxa"/>
            <w:right w:w="60" w:type="dxa"/>
          </w:tblCellMar>
        </w:tblPrEx>
        <w:trPr>
          <w:trHeight w:val="555"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tblPrEx>
          <w:tblCellMar>
            <w:top w:w="0" w:type="dxa"/>
            <w:left w:w="110" w:type="dxa"/>
            <w:bottom w:w="46" w:type="dxa"/>
            <w:right w:w="60" w:type="dxa"/>
          </w:tblCellMar>
        </w:tblPrEx>
        <w:trPr>
          <w:trHeight w:val="555"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tblPrEx>
          <w:tblCellMar>
            <w:top w:w="0" w:type="dxa"/>
            <w:left w:w="110" w:type="dxa"/>
            <w:bottom w:w="46" w:type="dxa"/>
            <w:right w:w="60" w:type="dxa"/>
          </w:tblCellMar>
        </w:tblPrEx>
        <w:trPr>
          <w:trHeight w:val="564"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bl>
    <w:p>
      <w:pPr>
        <w:spacing w:after="0" w:line="240" w:lineRule="auto"/>
        <w:jc w:val="center"/>
        <w:rPr>
          <w:rFonts w:hint="eastAsia" w:ascii="仿宋_GB2312" w:hAnsi="仿宋_GB2312" w:eastAsia="仿宋_GB2312" w:cs="仿宋_GB2312"/>
          <w:color w:val="auto"/>
          <w:sz w:val="21"/>
          <w:highlight w:val="none"/>
        </w:rPr>
      </w:pPr>
    </w:p>
    <w:p>
      <w:pPr>
        <w:spacing w:after="0" w:line="240" w:lineRule="auto"/>
        <w:jc w:val="both"/>
        <w:rPr>
          <w:rFonts w:hint="eastAsia" w:ascii="仿宋_GB2312" w:hAnsi="仿宋_GB2312" w:eastAsia="仿宋_GB2312" w:cs="仿宋_GB2312"/>
          <w:color w:val="auto"/>
          <w:sz w:val="21"/>
          <w:highlight w:val="none"/>
        </w:rPr>
      </w:pPr>
    </w:p>
    <w:p>
      <w:pPr>
        <w:spacing w:after="0" w:line="240" w:lineRule="auto"/>
        <w:jc w:val="both"/>
        <w:rPr>
          <w:rFonts w:hint="eastAsia" w:ascii="仿宋_GB2312" w:hAnsi="仿宋_GB2312" w:eastAsia="仿宋_GB2312" w:cs="仿宋_GB2312"/>
          <w:color w:val="auto"/>
          <w:sz w:val="21"/>
          <w:highlight w:val="none"/>
          <w:lang w:val="en-US" w:eastAsia="zh-CN"/>
        </w:rPr>
        <w:sectPr>
          <w:pgSz w:w="15840" w:h="12240" w:orient="landscape"/>
          <w:pgMar w:top="1440" w:right="1440" w:bottom="1440" w:left="1440" w:header="720" w:footer="720" w:gutter="0"/>
          <w:pgNumType w:fmt="decimal"/>
          <w:cols w:space="0" w:num="1"/>
          <w:rtlGutter w:val="0"/>
          <w:docGrid w:linePitch="0" w:charSpace="0"/>
        </w:sectPr>
      </w:pPr>
      <w:r>
        <w:rPr>
          <w:rFonts w:hint="eastAsia" w:ascii="仿宋_GB2312" w:hAnsi="仿宋_GB2312" w:eastAsia="仿宋_GB2312" w:cs="仿宋_GB2312"/>
          <w:color w:val="auto"/>
          <w:sz w:val="21"/>
          <w:highlight w:val="none"/>
          <w:lang w:val="en-US" w:eastAsia="zh-CN"/>
        </w:rPr>
        <w:t>注：参选人在本表后</w:t>
      </w:r>
      <w:r>
        <w:rPr>
          <w:rFonts w:hint="eastAsia" w:ascii="仿宋_GB2312" w:hAnsi="仿宋_GB2312" w:eastAsia="仿宋_GB2312" w:cs="仿宋_GB2312"/>
          <w:color w:val="auto"/>
          <w:sz w:val="21"/>
          <w:highlight w:val="none"/>
        </w:rPr>
        <w:t>附</w:t>
      </w:r>
      <w:r>
        <w:rPr>
          <w:rFonts w:hint="eastAsia" w:ascii="仿宋_GB2312" w:hAnsi="仿宋_GB2312" w:eastAsia="仿宋_GB2312" w:cs="仿宋_GB2312"/>
          <w:color w:val="auto"/>
          <w:sz w:val="21"/>
          <w:highlight w:val="none"/>
          <w:lang w:val="en-US" w:eastAsia="zh-CN"/>
        </w:rPr>
        <w:t>相关业绩（如有）</w:t>
      </w:r>
    </w:p>
    <w:p>
      <w:pPr>
        <w:pStyle w:val="14"/>
        <w:rPr>
          <w:rFonts w:hint="eastAsia"/>
          <w:highlight w:val="none"/>
          <w:lang w:val="en-US" w:eastAsia="zh-CN"/>
        </w:rPr>
      </w:pPr>
    </w:p>
    <w:p>
      <w:pPr>
        <w:spacing w:after="0" w:line="240" w:lineRule="auto"/>
        <w:jc w:val="center"/>
        <w:rPr>
          <w:rFonts w:hint="eastAsia" w:ascii="方正小标宋简体" w:hAnsi="方正小标宋简体" w:eastAsia="方正小标宋简体" w:cs="方正小标宋简体"/>
          <w:color w:val="auto"/>
          <w:kern w:val="2"/>
          <w:sz w:val="28"/>
          <w:szCs w:val="22"/>
          <w:highlight w:val="none"/>
          <w:lang w:val="en-US" w:eastAsia="zh-CN" w:bidi="ar-SA"/>
        </w:rPr>
      </w:pPr>
      <w:r>
        <w:rPr>
          <w:rFonts w:hint="eastAsia" w:ascii="方正小标宋简体" w:hAnsi="方正小标宋简体" w:eastAsia="方正小标宋简体" w:cs="方正小标宋简体"/>
          <w:color w:val="auto"/>
          <w:kern w:val="2"/>
          <w:sz w:val="28"/>
          <w:szCs w:val="22"/>
          <w:highlight w:val="none"/>
          <w:lang w:val="en-US" w:eastAsia="zh-CN" w:bidi="ar-SA"/>
        </w:rPr>
        <w:t>（三）信用查询证明</w:t>
      </w:r>
    </w:p>
    <w:p>
      <w:pPr>
        <w:pStyle w:val="8"/>
        <w:spacing w:after="0" w:line="360" w:lineRule="auto"/>
        <w:ind w:left="132" w:right="0"/>
        <w:jc w:val="left"/>
        <w:rPr>
          <w:rFonts w:hint="eastAsia" w:ascii="仿宋_GB2312" w:hAnsi="仿宋_GB2312" w:eastAsia="仿宋_GB2312" w:cs="仿宋_GB2312"/>
          <w:b w:val="0"/>
          <w:bCs/>
          <w:color w:val="auto"/>
          <w:sz w:val="24"/>
          <w:szCs w:val="21"/>
          <w:highlight w:val="none"/>
          <w:lang w:val="en-US" w:eastAsia="zh-CN"/>
        </w:rPr>
      </w:pPr>
      <w:r>
        <w:rPr>
          <w:rFonts w:hint="eastAsia" w:ascii="仿宋_GB2312" w:hAnsi="仿宋_GB2312" w:eastAsia="仿宋_GB2312" w:cs="仿宋_GB2312"/>
          <w:b w:val="0"/>
          <w:bCs/>
          <w:color w:val="auto"/>
          <w:sz w:val="24"/>
          <w:szCs w:val="21"/>
          <w:highlight w:val="none"/>
          <w:lang w:val="en-US" w:eastAsia="zh-CN"/>
        </w:rPr>
        <w:t>参选人提供通过信用中国网站（www.creditchina.gov.cn）-信用服务-严重失信主体名单、经营异常名录查询、失信被执行人查询、重大税收违法失信主体查询的截图。</w:t>
      </w:r>
    </w:p>
    <w:p>
      <w:pPr>
        <w:pStyle w:val="8"/>
        <w:spacing w:after="0" w:line="360" w:lineRule="auto"/>
        <w:ind w:left="132" w:right="0"/>
        <w:jc w:val="left"/>
        <w:rPr>
          <w:rFonts w:hint="eastAsia" w:ascii="宋体" w:hAnsi="宋体" w:eastAsia="宋体" w:cs="宋体"/>
          <w:b/>
          <w:color w:val="auto"/>
          <w:highlight w:val="none"/>
        </w:rPr>
      </w:pPr>
    </w:p>
    <w:p>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pStyle w:val="8"/>
        <w:spacing w:after="0" w:line="360" w:lineRule="auto"/>
        <w:ind w:left="0" w:right="0"/>
        <w:jc w:val="center"/>
        <w:rPr>
          <w:rFonts w:ascii="宋体" w:hAnsi="宋体" w:eastAsia="宋体"/>
          <w:b/>
          <w:color w:val="auto"/>
          <w:highlight w:val="none"/>
        </w:rPr>
        <w:sectPr>
          <w:pgSz w:w="12240" w:h="15840"/>
          <w:pgMar w:top="1440" w:right="1440" w:bottom="1440" w:left="1440" w:header="720" w:footer="720" w:gutter="0"/>
          <w:pgNumType w:fmt="decimal"/>
          <w:cols w:space="720" w:num="1"/>
        </w:sectPr>
      </w:pPr>
      <w:bookmarkStart w:id="60" w:name="_Toc123681"/>
    </w:p>
    <w:p>
      <w:pPr>
        <w:spacing w:after="0" w:line="240" w:lineRule="auto"/>
        <w:jc w:val="center"/>
        <w:rPr>
          <w:rFonts w:hint="eastAsia" w:ascii="方正小标宋简体" w:hAnsi="方正小标宋简体" w:eastAsia="方正小标宋简体" w:cs="方正小标宋简体"/>
          <w:color w:val="auto"/>
          <w:kern w:val="2"/>
          <w:sz w:val="28"/>
          <w:szCs w:val="22"/>
          <w:highlight w:val="none"/>
          <w:lang w:val="en-US" w:eastAsia="zh-CN" w:bidi="ar-SA"/>
        </w:rPr>
      </w:pPr>
      <w:r>
        <w:rPr>
          <w:rFonts w:hint="eastAsia" w:ascii="方正小标宋简体" w:hAnsi="方正小标宋简体" w:eastAsia="方正小标宋简体" w:cs="方正小标宋简体"/>
          <w:color w:val="auto"/>
          <w:kern w:val="2"/>
          <w:sz w:val="28"/>
          <w:szCs w:val="22"/>
          <w:highlight w:val="none"/>
          <w:lang w:val="en-US" w:eastAsia="zh-CN" w:bidi="ar-SA"/>
        </w:rPr>
        <w:t xml:space="preserve">（四）拟委任的主要人员汇总表 </w:t>
      </w:r>
      <w:bookmarkEnd w:id="60"/>
    </w:p>
    <w:tbl>
      <w:tblPr>
        <w:tblStyle w:val="30"/>
        <w:tblW w:w="13218" w:type="dxa"/>
        <w:jc w:val="center"/>
        <w:tblLayout w:type="fixed"/>
        <w:tblCellMar>
          <w:top w:w="0" w:type="dxa"/>
          <w:left w:w="110" w:type="dxa"/>
          <w:bottom w:w="46" w:type="dxa"/>
          <w:right w:w="60" w:type="dxa"/>
        </w:tblCellMar>
      </w:tblPr>
      <w:tblGrid>
        <w:gridCol w:w="1061"/>
        <w:gridCol w:w="1683"/>
        <w:gridCol w:w="1353"/>
        <w:gridCol w:w="2322"/>
        <w:gridCol w:w="916"/>
        <w:gridCol w:w="1304"/>
        <w:gridCol w:w="1165"/>
        <w:gridCol w:w="1217"/>
        <w:gridCol w:w="2197"/>
      </w:tblGrid>
      <w:tr>
        <w:tblPrEx>
          <w:tblCellMar>
            <w:top w:w="0" w:type="dxa"/>
            <w:left w:w="110" w:type="dxa"/>
            <w:bottom w:w="46" w:type="dxa"/>
            <w:right w:w="60" w:type="dxa"/>
          </w:tblCellMar>
        </w:tblPrEx>
        <w:trPr>
          <w:trHeight w:val="529" w:hRule="atLeast"/>
          <w:jc w:val="center"/>
        </w:trPr>
        <w:tc>
          <w:tcPr>
            <w:tcW w:w="106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ind w:left="86"/>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序号</w:t>
            </w:r>
          </w:p>
        </w:tc>
        <w:tc>
          <w:tcPr>
            <w:tcW w:w="168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本项目任职</w:t>
            </w:r>
          </w:p>
          <w:p>
            <w:pPr>
              <w:spacing w:after="0"/>
              <w:jc w:val="center"/>
              <w:rPr>
                <w:rFonts w:hint="eastAsia" w:ascii="仿宋_GB2312" w:hAnsi="仿宋_GB2312" w:eastAsia="仿宋_GB2312" w:cs="仿宋_GB2312"/>
                <w:color w:val="auto"/>
                <w:sz w:val="21"/>
                <w:highlight w:val="none"/>
                <w:lang w:eastAsia="zh-CN"/>
              </w:rPr>
            </w:pPr>
            <w:r>
              <w:rPr>
                <w:rFonts w:hint="eastAsia" w:ascii="仿宋_GB2312" w:hAnsi="仿宋_GB2312" w:eastAsia="仿宋_GB2312" w:cs="仿宋_GB2312"/>
                <w:color w:val="auto"/>
                <w:sz w:val="21"/>
                <w:highlight w:val="none"/>
                <w:lang w:eastAsia="zh-CN"/>
              </w:rPr>
              <w:t>（</w:t>
            </w:r>
            <w:r>
              <w:rPr>
                <w:rFonts w:hint="eastAsia" w:ascii="仿宋_GB2312" w:hAnsi="仿宋_GB2312" w:eastAsia="仿宋_GB2312" w:cs="仿宋_GB2312"/>
                <w:color w:val="auto"/>
                <w:sz w:val="21"/>
                <w:highlight w:val="none"/>
                <w:lang w:val="en-US" w:eastAsia="zh-CN"/>
              </w:rPr>
              <w:t>团队负责人/主办律师/协办律师</w:t>
            </w:r>
            <w:r>
              <w:rPr>
                <w:rFonts w:hint="eastAsia" w:ascii="仿宋_GB2312" w:hAnsi="仿宋_GB2312" w:eastAsia="仿宋_GB2312" w:cs="仿宋_GB2312"/>
                <w:color w:val="auto"/>
                <w:sz w:val="21"/>
                <w:highlight w:val="none"/>
                <w:lang w:eastAsia="zh-CN"/>
              </w:rPr>
              <w:t>）</w:t>
            </w:r>
          </w:p>
        </w:tc>
        <w:tc>
          <w:tcPr>
            <w:tcW w:w="135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姓名</w:t>
            </w:r>
          </w:p>
        </w:tc>
        <w:tc>
          <w:tcPr>
            <w:tcW w:w="232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ind w:right="34"/>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lang w:val="en-US" w:eastAsia="zh-CN"/>
              </w:rPr>
              <w:t>学历（最高学历为准）</w:t>
            </w:r>
          </w:p>
        </w:tc>
        <w:tc>
          <w:tcPr>
            <w:tcW w:w="91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专业</w:t>
            </w:r>
          </w:p>
        </w:tc>
        <w:tc>
          <w:tcPr>
            <w:tcW w:w="5883"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right="51"/>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1"/>
                <w:highlight w:val="none"/>
              </w:rPr>
              <w:t>执业资格</w:t>
            </w:r>
            <w:r>
              <w:rPr>
                <w:rFonts w:hint="eastAsia" w:ascii="仿宋_GB2312" w:hAnsi="仿宋_GB2312" w:eastAsia="仿宋_GB2312" w:cs="仿宋_GB2312"/>
                <w:color w:val="auto"/>
                <w:sz w:val="21"/>
                <w:highlight w:val="none"/>
                <w:lang w:val="en-US" w:eastAsia="zh-CN"/>
              </w:rPr>
              <w:t>及荣誉证书</w:t>
            </w:r>
          </w:p>
        </w:tc>
      </w:tr>
      <w:tr>
        <w:tblPrEx>
          <w:tblCellMar>
            <w:top w:w="0" w:type="dxa"/>
            <w:left w:w="110" w:type="dxa"/>
            <w:bottom w:w="46" w:type="dxa"/>
            <w:right w:w="60" w:type="dxa"/>
          </w:tblCellMar>
        </w:tblPrEx>
        <w:trPr>
          <w:trHeight w:val="756" w:hRule="atLeast"/>
          <w:jc w:val="center"/>
        </w:trPr>
        <w:tc>
          <w:tcPr>
            <w:tcW w:w="1061"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highlight w:val="none"/>
              </w:rPr>
            </w:pPr>
          </w:p>
        </w:tc>
        <w:tc>
          <w:tcPr>
            <w:tcW w:w="1683"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highlight w:val="none"/>
              </w:rPr>
            </w:pPr>
          </w:p>
        </w:tc>
        <w:tc>
          <w:tcPr>
            <w:tcW w:w="1353"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highlight w:val="none"/>
              </w:rPr>
            </w:pPr>
          </w:p>
        </w:tc>
        <w:tc>
          <w:tcPr>
            <w:tcW w:w="232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highlight w:val="none"/>
              </w:rPr>
            </w:pPr>
          </w:p>
        </w:tc>
        <w:tc>
          <w:tcPr>
            <w:tcW w:w="916"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36"/>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1"/>
                <w:highlight w:val="none"/>
              </w:rPr>
              <w:t>证书名称</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34"/>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lang w:val="en-US" w:eastAsia="zh-CN"/>
              </w:rPr>
              <w:t>执业年限</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115"/>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1"/>
                <w:highlight w:val="none"/>
                <w:lang w:val="en-US" w:eastAsia="zh-CN"/>
              </w:rPr>
              <w:t>荣誉名称</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荣誉证书发证单位</w:t>
            </w:r>
          </w:p>
        </w:tc>
      </w:tr>
      <w:tr>
        <w:tblPrEx>
          <w:tblCellMar>
            <w:top w:w="0" w:type="dxa"/>
            <w:left w:w="110" w:type="dxa"/>
            <w:bottom w:w="46" w:type="dxa"/>
            <w:right w:w="60" w:type="dxa"/>
          </w:tblCellMar>
        </w:tblPrEx>
        <w:trPr>
          <w:trHeight w:val="52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tblPrEx>
          <w:tblCellMar>
            <w:top w:w="0" w:type="dxa"/>
            <w:left w:w="110" w:type="dxa"/>
            <w:bottom w:w="46" w:type="dxa"/>
            <w:right w:w="60" w:type="dxa"/>
          </w:tblCellMar>
        </w:tblPrEx>
        <w:trPr>
          <w:trHeight w:val="53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tblPrEx>
          <w:tblCellMar>
            <w:top w:w="0" w:type="dxa"/>
            <w:left w:w="110" w:type="dxa"/>
            <w:bottom w:w="46" w:type="dxa"/>
            <w:right w:w="60" w:type="dxa"/>
          </w:tblCellMar>
        </w:tblPrEx>
        <w:trPr>
          <w:trHeight w:val="52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tblPrEx>
          <w:tblCellMar>
            <w:top w:w="0" w:type="dxa"/>
            <w:left w:w="110" w:type="dxa"/>
            <w:bottom w:w="46" w:type="dxa"/>
            <w:right w:w="60" w:type="dxa"/>
          </w:tblCellMar>
        </w:tblPrEx>
        <w:trPr>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tblPrEx>
          <w:tblCellMar>
            <w:top w:w="0" w:type="dxa"/>
            <w:left w:w="110" w:type="dxa"/>
            <w:bottom w:w="46" w:type="dxa"/>
            <w:right w:w="60" w:type="dxa"/>
          </w:tblCellMar>
        </w:tblPrEx>
        <w:trPr>
          <w:trHeight w:val="52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tblPrEx>
          <w:tblCellMar>
            <w:top w:w="0" w:type="dxa"/>
            <w:left w:w="110" w:type="dxa"/>
            <w:bottom w:w="46" w:type="dxa"/>
            <w:right w:w="60" w:type="dxa"/>
          </w:tblCellMar>
        </w:tblPrEx>
        <w:trPr>
          <w:trHeight w:val="538"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bl>
    <w:p>
      <w:pPr>
        <w:pStyle w:val="8"/>
        <w:spacing w:after="0" w:line="360" w:lineRule="auto"/>
        <w:ind w:left="132" w:right="0"/>
        <w:jc w:val="center"/>
        <w:rPr>
          <w:rFonts w:hint="eastAsia" w:ascii="宋体" w:hAnsi="宋体" w:eastAsia="宋体" w:cs="宋体"/>
          <w:b/>
          <w:color w:val="auto"/>
          <w:highlight w:val="none"/>
        </w:rPr>
        <w:sectPr>
          <w:pgSz w:w="15840" w:h="12240" w:orient="landscape"/>
          <w:pgMar w:top="1440" w:right="1440" w:bottom="1440" w:left="1440" w:header="720" w:footer="720" w:gutter="0"/>
          <w:pgNumType w:fmt="decimal"/>
          <w:cols w:space="0" w:num="1"/>
          <w:rtlGutter w:val="0"/>
          <w:docGrid w:linePitch="0" w:charSpace="0"/>
        </w:sectPr>
      </w:pPr>
    </w:p>
    <w:bookmarkEnd w:id="59"/>
    <w:p>
      <w:pPr>
        <w:pStyle w:val="8"/>
        <w:spacing w:after="0" w:line="360" w:lineRule="auto"/>
        <w:ind w:left="132" w:right="0"/>
        <w:jc w:val="center"/>
        <w:rPr>
          <w:rFonts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五</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拟派律师</w:t>
      </w:r>
      <w:r>
        <w:rPr>
          <w:rFonts w:hint="eastAsia" w:ascii="宋体" w:hAnsi="宋体" w:eastAsia="宋体" w:cs="宋体"/>
          <w:b/>
          <w:color w:val="auto"/>
          <w:highlight w:val="none"/>
        </w:rPr>
        <w:t>简历表</w:t>
      </w:r>
    </w:p>
    <w:tbl>
      <w:tblPr>
        <w:tblStyle w:val="30"/>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1302"/>
        <w:gridCol w:w="1358"/>
        <w:gridCol w:w="719"/>
        <w:gridCol w:w="928"/>
        <w:gridCol w:w="931"/>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姓    名</w:t>
            </w:r>
          </w:p>
        </w:tc>
        <w:tc>
          <w:tcPr>
            <w:tcW w:w="2660" w:type="dxa"/>
            <w:gridSpan w:val="2"/>
          </w:tcPr>
          <w:p>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c>
          <w:tcPr>
            <w:tcW w:w="1647" w:type="dxa"/>
            <w:gridSpan w:val="2"/>
          </w:tcPr>
          <w:p>
            <w:pPr>
              <w:widowControl w:val="0"/>
              <w:adjustRightInd w:val="0"/>
              <w:snapToGrid w:val="0"/>
              <w:spacing w:after="0" w:line="480" w:lineRule="exact"/>
              <w:jc w:val="center"/>
              <w:rPr>
                <w:rFonts w:hint="eastAsia" w:ascii="仿宋_GB2312" w:hAnsi="仿宋_GB2312" w:eastAsia="仿宋_GB2312" w:cs="仿宋_GB2312"/>
                <w:b/>
                <w:bCs/>
                <w:color w:val="000000"/>
                <w:sz w:val="24"/>
                <w:szCs w:val="20"/>
                <w:highlight w:val="none"/>
                <w:lang w:eastAsia="zh-CN"/>
              </w:rPr>
            </w:pPr>
            <w:r>
              <w:rPr>
                <w:rFonts w:hint="eastAsia" w:ascii="仿宋_GB2312" w:hAnsi="仿宋_GB2312" w:eastAsia="仿宋_GB2312" w:cs="仿宋_GB2312"/>
                <w:b/>
                <w:bCs/>
                <w:color w:val="000000"/>
                <w:sz w:val="24"/>
                <w:szCs w:val="20"/>
                <w:highlight w:val="none"/>
                <w:lang w:eastAsia="zh-CN"/>
              </w:rPr>
              <w:t>拟任职</w:t>
            </w:r>
          </w:p>
        </w:tc>
        <w:tc>
          <w:tcPr>
            <w:tcW w:w="2852" w:type="dxa"/>
            <w:gridSpan w:val="2"/>
            <w:vAlign w:val="top"/>
          </w:tcPr>
          <w:p>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lang w:eastAsia="zh-CN"/>
              </w:rPr>
              <w:t>项目负责人</w:t>
            </w:r>
            <w:r>
              <w:rPr>
                <w:rFonts w:hint="eastAsia" w:ascii="仿宋_GB2312" w:hAnsi="仿宋_GB2312" w:eastAsia="仿宋_GB2312" w:cs="仿宋_GB2312"/>
                <w:color w:val="000000"/>
                <w:sz w:val="24"/>
                <w:szCs w:val="20"/>
                <w:highlight w:val="none"/>
                <w:lang w:val="en-US" w:eastAsia="zh-CN"/>
              </w:rPr>
              <w:t>/团队律师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身份证号</w:t>
            </w:r>
          </w:p>
        </w:tc>
        <w:tc>
          <w:tcPr>
            <w:tcW w:w="2660" w:type="dxa"/>
            <w:gridSpan w:val="2"/>
          </w:tcPr>
          <w:p>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c>
          <w:tcPr>
            <w:tcW w:w="1647" w:type="dxa"/>
            <w:gridSpan w:val="2"/>
          </w:tcPr>
          <w:p>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从业年限</w:t>
            </w:r>
          </w:p>
        </w:tc>
        <w:tc>
          <w:tcPr>
            <w:tcW w:w="2852" w:type="dxa"/>
            <w:gridSpan w:val="2"/>
          </w:tcPr>
          <w:p>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专业职称</w:t>
            </w:r>
          </w:p>
        </w:tc>
        <w:tc>
          <w:tcPr>
            <w:tcW w:w="2660" w:type="dxa"/>
            <w:gridSpan w:val="2"/>
          </w:tcPr>
          <w:p>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c>
          <w:tcPr>
            <w:tcW w:w="1647" w:type="dxa"/>
            <w:gridSpan w:val="2"/>
          </w:tcPr>
          <w:p>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lang w:eastAsia="zh-CN"/>
              </w:rPr>
              <w:t>专业</w:t>
            </w:r>
            <w:r>
              <w:rPr>
                <w:rFonts w:hint="eastAsia" w:ascii="仿宋_GB2312" w:hAnsi="仿宋_GB2312" w:eastAsia="仿宋_GB2312" w:cs="仿宋_GB2312"/>
                <w:color w:val="000000"/>
                <w:sz w:val="24"/>
                <w:szCs w:val="20"/>
                <w:highlight w:val="none"/>
              </w:rPr>
              <w:t>学历</w:t>
            </w:r>
          </w:p>
        </w:tc>
        <w:tc>
          <w:tcPr>
            <w:tcW w:w="2852" w:type="dxa"/>
            <w:gridSpan w:val="2"/>
          </w:tcPr>
          <w:p>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执业资格</w:t>
            </w:r>
          </w:p>
        </w:tc>
        <w:tc>
          <w:tcPr>
            <w:tcW w:w="2660" w:type="dxa"/>
            <w:gridSpan w:val="2"/>
          </w:tcPr>
          <w:p>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c>
          <w:tcPr>
            <w:tcW w:w="1647" w:type="dxa"/>
            <w:gridSpan w:val="2"/>
          </w:tcPr>
          <w:p>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lang w:eastAsia="zh-CN"/>
              </w:rPr>
              <w:t>执业编号</w:t>
            </w:r>
          </w:p>
        </w:tc>
        <w:tc>
          <w:tcPr>
            <w:tcW w:w="2852" w:type="dxa"/>
            <w:gridSpan w:val="2"/>
          </w:tcPr>
          <w:p>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lang w:eastAsia="zh-CN"/>
              </w:rPr>
              <w:t>执业单位</w:t>
            </w:r>
          </w:p>
        </w:tc>
        <w:tc>
          <w:tcPr>
            <w:tcW w:w="7159" w:type="dxa"/>
            <w:gridSpan w:val="6"/>
          </w:tcPr>
          <w:p>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39" w:type="dxa"/>
          </w:tcPr>
          <w:p>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lang w:eastAsia="zh-CN"/>
              </w:rPr>
              <w:t>毕业院校</w:t>
            </w:r>
          </w:p>
        </w:tc>
        <w:tc>
          <w:tcPr>
            <w:tcW w:w="7159" w:type="dxa"/>
            <w:gridSpan w:val="6"/>
          </w:tcPr>
          <w:p>
            <w:pPr>
              <w:widowControl w:val="0"/>
              <w:adjustRightInd w:val="0"/>
              <w:snapToGrid w:val="0"/>
              <w:spacing w:after="0" w:line="480" w:lineRule="exact"/>
              <w:ind w:firstLine="720" w:firstLineChars="300"/>
              <w:jc w:val="both"/>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 xml:space="preserve">年毕业于            学校        专业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39" w:type="dxa"/>
          </w:tcPr>
          <w:p>
            <w:pPr>
              <w:spacing w:after="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所获荣誉</w:t>
            </w:r>
          </w:p>
          <w:p>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val="en-US" w:eastAsia="zh-CN"/>
              </w:rPr>
            </w:pPr>
            <w:r>
              <w:rPr>
                <w:rFonts w:hint="eastAsia" w:ascii="仿宋_GB2312" w:hAnsi="仿宋_GB2312" w:eastAsia="仿宋_GB2312" w:cs="仿宋_GB2312"/>
                <w:color w:val="auto"/>
                <w:sz w:val="24"/>
                <w:szCs w:val="24"/>
                <w:highlight w:val="none"/>
                <w:lang w:val="en-US" w:eastAsia="zh-CN"/>
              </w:rPr>
              <w:t>（含所获荣誉级别及名称）</w:t>
            </w:r>
          </w:p>
        </w:tc>
        <w:tc>
          <w:tcPr>
            <w:tcW w:w="7159" w:type="dxa"/>
            <w:gridSpan w:val="6"/>
          </w:tcPr>
          <w:p>
            <w:pPr>
              <w:widowControl w:val="0"/>
              <w:adjustRightInd w:val="0"/>
              <w:snapToGrid w:val="0"/>
              <w:spacing w:after="0" w:line="480" w:lineRule="exact"/>
              <w:ind w:firstLine="720" w:firstLineChars="300"/>
              <w:jc w:val="both"/>
              <w:rPr>
                <w:rFonts w:hint="eastAsia" w:ascii="仿宋_GB2312" w:hAnsi="仿宋_GB2312" w:eastAsia="仿宋_GB2312" w:cs="仿宋_GB2312"/>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998" w:type="dxa"/>
            <w:gridSpan w:val="7"/>
            <w:vAlign w:val="top"/>
          </w:tcPr>
          <w:p>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rPr>
              <w:t>类似项目的业绩</w:t>
            </w:r>
            <w:r>
              <w:rPr>
                <w:rFonts w:hint="eastAsia" w:ascii="仿宋_GB2312" w:hAnsi="仿宋_GB2312" w:eastAsia="仿宋_GB2312" w:cs="仿宋_GB2312"/>
                <w:color w:val="000000"/>
                <w:sz w:val="24"/>
                <w:szCs w:val="20"/>
                <w:highlight w:val="none"/>
                <w:lang w:eastAsia="zh-CN"/>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3141" w:type="dxa"/>
            <w:gridSpan w:val="2"/>
            <w:vAlign w:val="center"/>
          </w:tcPr>
          <w:p>
            <w:pPr>
              <w:widowControl w:val="0"/>
              <w:adjustRightInd w:val="0"/>
              <w:snapToGrid w:val="0"/>
              <w:spacing w:after="0" w:line="480" w:lineRule="exact"/>
              <w:ind w:firstLine="31"/>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项目名称</w:t>
            </w:r>
          </w:p>
        </w:tc>
        <w:tc>
          <w:tcPr>
            <w:tcW w:w="2077" w:type="dxa"/>
            <w:gridSpan w:val="2"/>
            <w:vAlign w:val="center"/>
          </w:tcPr>
          <w:p>
            <w:pPr>
              <w:widowControl w:val="0"/>
              <w:adjustRightInd w:val="0"/>
              <w:snapToGrid w:val="0"/>
              <w:spacing w:after="0" w:line="480" w:lineRule="exact"/>
              <w:ind w:left="56" w:hanging="14"/>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lang w:eastAsia="zh-CN"/>
              </w:rPr>
              <w:t>标的金额</w:t>
            </w:r>
          </w:p>
        </w:tc>
        <w:tc>
          <w:tcPr>
            <w:tcW w:w="1859" w:type="dxa"/>
            <w:gridSpan w:val="2"/>
            <w:vAlign w:val="center"/>
          </w:tcPr>
          <w:p>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lang w:eastAsia="zh-CN"/>
              </w:rPr>
              <w:t>案件结果/阶段</w:t>
            </w:r>
          </w:p>
        </w:tc>
        <w:tc>
          <w:tcPr>
            <w:tcW w:w="1921" w:type="dxa"/>
            <w:vAlign w:val="center"/>
          </w:tcPr>
          <w:p>
            <w:pPr>
              <w:widowControl w:val="0"/>
              <w:adjustRightInd w:val="0"/>
              <w:snapToGrid w:val="0"/>
              <w:spacing w:after="0" w:line="480" w:lineRule="exact"/>
              <w:ind w:firstLine="31"/>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lang w:eastAsia="zh-CN"/>
              </w:rPr>
              <w:t>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141" w:type="dxa"/>
            <w:gridSpan w:val="2"/>
          </w:tcPr>
          <w:p>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2077" w:type="dxa"/>
            <w:gridSpan w:val="2"/>
          </w:tcPr>
          <w:p>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859" w:type="dxa"/>
            <w:gridSpan w:val="2"/>
          </w:tcPr>
          <w:p>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921" w:type="dxa"/>
          </w:tcPr>
          <w:p>
            <w:pPr>
              <w:widowControl w:val="0"/>
              <w:spacing w:after="0" w:line="480" w:lineRule="exact"/>
              <w:jc w:val="both"/>
              <w:rPr>
                <w:rFonts w:hint="eastAsia" w:ascii="仿宋_GB2312" w:hAnsi="仿宋_GB2312" w:eastAsia="仿宋_GB2312" w:cs="仿宋_GB2312"/>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141" w:type="dxa"/>
            <w:gridSpan w:val="2"/>
          </w:tcPr>
          <w:p>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2077" w:type="dxa"/>
            <w:gridSpan w:val="2"/>
          </w:tcPr>
          <w:p>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859" w:type="dxa"/>
            <w:gridSpan w:val="2"/>
          </w:tcPr>
          <w:p>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921" w:type="dxa"/>
          </w:tcPr>
          <w:p>
            <w:pPr>
              <w:widowControl w:val="0"/>
              <w:spacing w:after="0" w:line="480" w:lineRule="exact"/>
              <w:jc w:val="both"/>
              <w:rPr>
                <w:rFonts w:hint="eastAsia" w:ascii="仿宋_GB2312" w:hAnsi="仿宋_GB2312" w:eastAsia="仿宋_GB2312" w:cs="仿宋_GB2312"/>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141" w:type="dxa"/>
            <w:gridSpan w:val="2"/>
          </w:tcPr>
          <w:p>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2077" w:type="dxa"/>
            <w:gridSpan w:val="2"/>
          </w:tcPr>
          <w:p>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859" w:type="dxa"/>
            <w:gridSpan w:val="2"/>
          </w:tcPr>
          <w:p>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921" w:type="dxa"/>
          </w:tcPr>
          <w:p>
            <w:pPr>
              <w:widowControl w:val="0"/>
              <w:spacing w:after="0" w:line="480" w:lineRule="exact"/>
              <w:jc w:val="both"/>
              <w:rPr>
                <w:rFonts w:hint="eastAsia" w:ascii="仿宋_GB2312" w:hAnsi="仿宋_GB2312" w:eastAsia="仿宋_GB2312" w:cs="仿宋_GB2312"/>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3141" w:type="dxa"/>
            <w:gridSpan w:val="2"/>
          </w:tcPr>
          <w:p>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2077" w:type="dxa"/>
            <w:gridSpan w:val="2"/>
          </w:tcPr>
          <w:p>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859" w:type="dxa"/>
            <w:gridSpan w:val="2"/>
          </w:tcPr>
          <w:p>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921" w:type="dxa"/>
          </w:tcPr>
          <w:p>
            <w:pPr>
              <w:widowControl w:val="0"/>
              <w:spacing w:after="0" w:line="480" w:lineRule="exact"/>
              <w:jc w:val="both"/>
              <w:rPr>
                <w:rFonts w:hint="eastAsia" w:ascii="仿宋_GB2312" w:hAnsi="仿宋_GB2312" w:eastAsia="仿宋_GB2312" w:cs="仿宋_GB2312"/>
                <w:color w:val="000000"/>
                <w:sz w:val="24"/>
                <w:szCs w:val="20"/>
                <w:highlight w:val="none"/>
              </w:rPr>
            </w:pPr>
          </w:p>
        </w:tc>
      </w:tr>
    </w:tbl>
    <w:p>
      <w:pPr>
        <w:pStyle w:val="18"/>
        <w:ind w:left="0" w:leftChars="0" w:firstLine="0" w:firstLineChars="0"/>
        <w:rPr>
          <w:rFonts w:hint="eastAsia" w:ascii="仿宋_GB2312" w:hAnsi="仿宋_GB2312" w:eastAsia="仿宋_GB2312" w:cs="仿宋_GB2312"/>
          <w:color w:val="auto"/>
          <w:highlight w:val="none"/>
        </w:rPr>
      </w:pPr>
    </w:p>
    <w:p>
      <w:pPr>
        <w:ind w:firstLine="220" w:firstLineChars="100"/>
        <w:rPr>
          <w:rFonts w:ascii="宋体" w:hAnsi="宋体" w:eastAsia="宋体"/>
          <w:color w:val="auto"/>
          <w:highlight w:val="none"/>
        </w:rPr>
      </w:pPr>
      <w:r>
        <w:rPr>
          <w:rFonts w:hint="eastAsia" w:ascii="仿宋_GB2312" w:hAnsi="仿宋_GB2312" w:eastAsia="仿宋_GB2312" w:cs="仿宋_GB2312"/>
          <w:color w:val="auto"/>
          <w:highlight w:val="none"/>
        </w:rPr>
        <w:t>注：</w:t>
      </w:r>
      <w:r>
        <w:rPr>
          <w:rFonts w:hint="eastAsia" w:ascii="仿宋_GB2312" w:hAnsi="仿宋_GB2312" w:eastAsia="仿宋_GB2312" w:cs="仿宋_GB2312"/>
          <w:color w:val="auto"/>
          <w:highlight w:val="none"/>
          <w:lang w:val="en-US" w:eastAsia="zh-CN"/>
        </w:rPr>
        <w:t>参选</w:t>
      </w:r>
      <w:r>
        <w:rPr>
          <w:rFonts w:hint="eastAsia" w:ascii="仿宋_GB2312" w:hAnsi="仿宋_GB2312" w:eastAsia="仿宋_GB2312" w:cs="仿宋_GB2312"/>
          <w:color w:val="auto"/>
          <w:highlight w:val="none"/>
        </w:rPr>
        <w:t>人应在本表后附</w:t>
      </w:r>
      <w:r>
        <w:rPr>
          <w:rFonts w:hint="eastAsia" w:ascii="仿宋_GB2312" w:hAnsi="仿宋_GB2312" w:eastAsia="仿宋_GB2312" w:cs="仿宋_GB2312"/>
          <w:color w:val="auto"/>
          <w:highlight w:val="none"/>
          <w:lang w:val="en-US" w:eastAsia="zh-CN"/>
        </w:rPr>
        <w:t>律师执业证、业绩证明（如有）、荣誉证书（如有）</w:t>
      </w:r>
      <w:r>
        <w:rPr>
          <w:rFonts w:hint="eastAsia" w:ascii="仿宋_GB2312" w:hAnsi="仿宋_GB2312" w:eastAsia="仿宋_GB2312" w:cs="仿宋_GB2312"/>
          <w:color w:val="auto"/>
          <w:highlight w:val="none"/>
        </w:rPr>
        <w:t>。</w:t>
      </w:r>
    </w:p>
    <w:p>
      <w:pPr>
        <w:rPr>
          <w:rFonts w:ascii="宋体" w:hAnsi="宋体" w:eastAsia="宋体"/>
          <w:color w:val="auto"/>
          <w:highlight w:val="none"/>
        </w:rPr>
      </w:pPr>
      <w:r>
        <w:rPr>
          <w:rFonts w:ascii="宋体" w:hAnsi="宋体" w:eastAsia="宋体"/>
          <w:color w:val="auto"/>
          <w:highlight w:val="none"/>
        </w:rPr>
        <w:br w:type="page"/>
      </w:r>
    </w:p>
    <w:p>
      <w:pPr>
        <w:widowControl w:val="0"/>
        <w:adjustRightInd w:val="0"/>
        <w:spacing w:line="440" w:lineRule="exact"/>
        <w:ind w:left="722" w:leftChars="1" w:hanging="720" w:hangingChars="200"/>
        <w:jc w:val="center"/>
        <w:textAlignment w:val="baseline"/>
        <w:rPr>
          <w:rFonts w:hint="eastAsia" w:ascii="方正小标宋简体" w:hAnsi="方正小标宋简体" w:eastAsia="方正小标宋简体" w:cs="方正小标宋简体"/>
          <w:b w:val="0"/>
          <w:bCs/>
          <w:color w:val="000000"/>
          <w:kern w:val="0"/>
          <w:sz w:val="36"/>
          <w:szCs w:val="36"/>
          <w:highlight w:val="none"/>
          <w:lang w:val="en-US" w:eastAsia="zh-CN" w:bidi="ar-SA"/>
        </w:rPr>
      </w:pPr>
      <w:r>
        <w:rPr>
          <w:rFonts w:hint="eastAsia" w:ascii="方正小标宋简体" w:hAnsi="方正小标宋简体" w:eastAsia="方正小标宋简体" w:cs="方正小标宋简体"/>
          <w:b w:val="0"/>
          <w:bCs/>
          <w:color w:val="000000"/>
          <w:kern w:val="0"/>
          <w:sz w:val="36"/>
          <w:szCs w:val="36"/>
          <w:highlight w:val="none"/>
          <w:lang w:val="en-US" w:eastAsia="zh-CN" w:bidi="ar-SA"/>
        </w:rPr>
        <w:t>四、保密承诺书</w:t>
      </w:r>
    </w:p>
    <w:p>
      <w:pPr>
        <w:widowControl w:val="0"/>
        <w:adjustRightInd w:val="0"/>
        <w:spacing w:line="440" w:lineRule="exact"/>
        <w:ind w:left="604" w:leftChars="1" w:hanging="602" w:hangingChars="200"/>
        <w:jc w:val="center"/>
        <w:textAlignment w:val="baseline"/>
        <w:rPr>
          <w:rFonts w:ascii="Arial" w:hAnsi="Arial" w:eastAsia="宋体" w:cs="Arial"/>
          <w:b/>
          <w:color w:val="000000"/>
          <w:kern w:val="0"/>
          <w:sz w:val="30"/>
          <w:szCs w:val="30"/>
          <w:highlight w:val="none"/>
          <w:lang w:val="en-US" w:eastAsia="zh-CN" w:bidi="ar-SA"/>
        </w:rPr>
      </w:pPr>
    </w:p>
    <w:p>
      <w:pPr>
        <w:widowControl/>
        <w:adjustRightInd w:val="0"/>
        <w:snapToGrid w:val="0"/>
        <w:spacing w:after="0" w:line="360" w:lineRule="auto"/>
        <w:jc w:val="both"/>
        <w:rPr>
          <w:rFonts w:hint="eastAsia" w:ascii="仿宋_GB2312" w:hAnsi="仿宋_GB2312" w:eastAsia="仿宋_GB2312" w:cs="仿宋_GB2312"/>
          <w:b w:val="0"/>
          <w:bCs w:val="0"/>
          <w:color w:val="000000"/>
          <w:sz w:val="24"/>
          <w:szCs w:val="24"/>
          <w:highlight w:val="none"/>
          <w:u w:val="none"/>
        </w:rPr>
      </w:pPr>
      <w:r>
        <w:rPr>
          <w:rFonts w:hint="eastAsia" w:ascii="仿宋_GB2312" w:hAnsi="仿宋_GB2312" w:eastAsia="仿宋_GB2312" w:cs="仿宋_GB2312"/>
          <w:b w:val="0"/>
          <w:bCs w:val="0"/>
          <w:color w:val="000000"/>
          <w:sz w:val="24"/>
          <w:szCs w:val="24"/>
          <w:highlight w:val="none"/>
          <w:u w:val="none"/>
          <w:lang w:eastAsia="zh-CN"/>
        </w:rPr>
        <w:t>四川蜀物兴川物流发展有限公司</w:t>
      </w:r>
      <w:r>
        <w:rPr>
          <w:rFonts w:hint="eastAsia" w:ascii="仿宋_GB2312" w:hAnsi="仿宋_GB2312" w:eastAsia="仿宋_GB2312" w:cs="仿宋_GB2312"/>
          <w:b w:val="0"/>
          <w:bCs w:val="0"/>
          <w:color w:val="000000"/>
          <w:sz w:val="24"/>
          <w:szCs w:val="24"/>
          <w:highlight w:val="none"/>
          <w:u w:val="none"/>
        </w:rPr>
        <w:t>：</w:t>
      </w:r>
    </w:p>
    <w:p>
      <w:pPr>
        <w:widowControl/>
        <w:adjustRightInd w:val="0"/>
        <w:snapToGrid w:val="0"/>
        <w:spacing w:after="0" w:line="360" w:lineRule="auto"/>
        <w:ind w:firstLine="480" w:firstLineChars="200"/>
        <w:jc w:val="both"/>
        <w:rPr>
          <w:rFonts w:hint="eastAsia" w:ascii="仿宋_GB2312" w:hAnsi="仿宋_GB2312" w:eastAsia="仿宋_GB2312" w:cs="仿宋_GB2312"/>
          <w:b w:val="0"/>
          <w:bCs w:val="0"/>
          <w:color w:val="000000"/>
          <w:sz w:val="24"/>
          <w:szCs w:val="24"/>
          <w:highlight w:val="none"/>
          <w:u w:val="none"/>
        </w:rPr>
      </w:pPr>
      <w:r>
        <w:rPr>
          <w:rFonts w:hint="eastAsia" w:ascii="仿宋_GB2312" w:hAnsi="仿宋_GB2312" w:eastAsia="仿宋_GB2312" w:cs="仿宋_GB2312"/>
          <w:b w:val="0"/>
          <w:bCs w:val="0"/>
          <w:color w:val="000000"/>
          <w:sz w:val="24"/>
          <w:szCs w:val="24"/>
          <w:highlight w:val="none"/>
          <w:u w:val="none"/>
        </w:rPr>
        <w:t>就</w:t>
      </w:r>
      <w:r>
        <w:rPr>
          <w:rFonts w:hint="eastAsia" w:ascii="仿宋_GB2312" w:hAnsi="仿宋_GB2312" w:eastAsia="仿宋_GB2312" w:cs="仿宋_GB2312"/>
          <w:b w:val="0"/>
          <w:bCs w:val="0"/>
          <w:color w:val="000000"/>
          <w:sz w:val="24"/>
          <w:szCs w:val="24"/>
          <w:highlight w:val="none"/>
          <w:u w:val="none"/>
          <w:lang w:eastAsia="zh-CN"/>
        </w:rPr>
        <w:t>四川蜀物兴川物流发展有限公司与深圳某国企买卖合同纠纷诉讼法律服务项目</w:t>
      </w:r>
      <w:r>
        <w:rPr>
          <w:rFonts w:hint="eastAsia" w:ascii="仿宋_GB2312" w:hAnsi="仿宋_GB2312" w:eastAsia="仿宋_GB2312" w:cs="仿宋_GB2312"/>
          <w:b w:val="0"/>
          <w:bCs w:val="0"/>
          <w:color w:val="000000"/>
          <w:sz w:val="24"/>
          <w:szCs w:val="24"/>
          <w:highlight w:val="none"/>
          <w:u w:val="none"/>
        </w:rPr>
        <w:t>，我方特做如下保密承诺：</w:t>
      </w:r>
    </w:p>
    <w:p>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不论项目是否成交，对因上述项目我方所获取的与该项目有关的技术文件以及由</w:t>
      </w:r>
      <w:r>
        <w:rPr>
          <w:rFonts w:hint="eastAsia" w:ascii="仿宋_GB2312" w:hAnsi="仿宋_GB2312" w:eastAsia="仿宋_GB2312" w:cs="仿宋_GB2312"/>
          <w:color w:val="000000"/>
          <w:sz w:val="24"/>
          <w:szCs w:val="24"/>
          <w:highlight w:val="none"/>
          <w:lang w:val="en-US" w:eastAsia="zh-CN"/>
        </w:rPr>
        <w:t>比选人</w:t>
      </w:r>
      <w:r>
        <w:rPr>
          <w:rFonts w:hint="eastAsia" w:ascii="仿宋_GB2312" w:hAnsi="仿宋_GB2312" w:eastAsia="仿宋_GB2312" w:cs="仿宋_GB2312"/>
          <w:color w:val="000000"/>
          <w:sz w:val="24"/>
          <w:szCs w:val="24"/>
          <w:highlight w:val="none"/>
        </w:rPr>
        <w:t>提供的所有内部资料、技术文档和信息予以严格保密，并保证不以任何形式（复印或扫描等）进行复制；同时对参与本项目的所有有关人员在使用上述信息、资料文件时进行登记备案；未经</w:t>
      </w:r>
      <w:r>
        <w:rPr>
          <w:rFonts w:hint="eastAsia" w:ascii="仿宋_GB2312" w:hAnsi="仿宋_GB2312" w:eastAsia="仿宋_GB2312" w:cs="仿宋_GB2312"/>
          <w:color w:val="000000"/>
          <w:sz w:val="24"/>
          <w:szCs w:val="24"/>
          <w:highlight w:val="none"/>
          <w:lang w:val="en-US" w:eastAsia="zh-CN"/>
        </w:rPr>
        <w:t>比选人</w:t>
      </w:r>
      <w:r>
        <w:rPr>
          <w:rFonts w:hint="eastAsia" w:ascii="仿宋_GB2312" w:hAnsi="仿宋_GB2312" w:eastAsia="仿宋_GB2312" w:cs="仿宋_GB2312"/>
          <w:color w:val="000000"/>
          <w:sz w:val="24"/>
          <w:szCs w:val="24"/>
          <w:highlight w:val="none"/>
        </w:rPr>
        <w:t>书面许可，不以任何形式向第三方透露本项目的任何内容；如我方成交，在后续的合同期间及其结束后，未经</w:t>
      </w:r>
      <w:r>
        <w:rPr>
          <w:rFonts w:hint="eastAsia" w:ascii="仿宋_GB2312" w:hAnsi="仿宋_GB2312" w:eastAsia="仿宋_GB2312" w:cs="仿宋_GB2312"/>
          <w:color w:val="000000"/>
          <w:sz w:val="24"/>
          <w:szCs w:val="24"/>
          <w:highlight w:val="none"/>
          <w:lang w:val="en-US" w:eastAsia="zh-CN"/>
        </w:rPr>
        <w:t>比选人</w:t>
      </w:r>
      <w:r>
        <w:rPr>
          <w:rFonts w:hint="eastAsia" w:ascii="仿宋_GB2312" w:hAnsi="仿宋_GB2312" w:eastAsia="仿宋_GB2312" w:cs="仿宋_GB2312"/>
          <w:color w:val="000000"/>
          <w:sz w:val="24"/>
          <w:szCs w:val="24"/>
          <w:highlight w:val="none"/>
        </w:rPr>
        <w:t>书面同意，保证不将与本项目有关的任何资料用于发表和公布，或对外泄露。</w:t>
      </w:r>
    </w:p>
    <w:p>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一旦发现或有举报我方人员出现泄密或其他违规行为，经证实后我方除对有关责任人员及时予以相应处理外，完全接受</w:t>
      </w:r>
      <w:r>
        <w:rPr>
          <w:rFonts w:hint="eastAsia" w:ascii="仿宋_GB2312" w:hAnsi="仿宋_GB2312" w:eastAsia="仿宋_GB2312" w:cs="仿宋_GB2312"/>
          <w:color w:val="000000"/>
          <w:sz w:val="24"/>
          <w:szCs w:val="24"/>
          <w:highlight w:val="none"/>
          <w:lang w:val="en-US" w:eastAsia="zh-CN"/>
        </w:rPr>
        <w:t>比选</w:t>
      </w:r>
      <w:r>
        <w:rPr>
          <w:rFonts w:hint="eastAsia" w:ascii="仿宋_GB2312" w:hAnsi="仿宋_GB2312" w:eastAsia="仿宋_GB2312" w:cs="仿宋_GB2312"/>
          <w:color w:val="000000"/>
          <w:sz w:val="24"/>
          <w:szCs w:val="24"/>
          <w:highlight w:val="none"/>
        </w:rPr>
        <w:t>人的处理意见，并负责承担由此而产生的一切后果与法律责任。</w:t>
      </w:r>
    </w:p>
    <w:p>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eastAsia="zh-CN"/>
        </w:rPr>
        <w:t>如我单位</w:t>
      </w:r>
      <w:r>
        <w:rPr>
          <w:rFonts w:hint="eastAsia" w:ascii="仿宋_GB2312" w:hAnsi="仿宋_GB2312" w:eastAsia="仿宋_GB2312" w:cs="仿宋_GB2312"/>
          <w:color w:val="000000"/>
          <w:sz w:val="24"/>
          <w:szCs w:val="24"/>
          <w:highlight w:val="none"/>
          <w:lang w:val="en-US" w:eastAsia="zh-CN"/>
        </w:rPr>
        <w:t>中选</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作为专业律师</w:t>
      </w:r>
      <w:r>
        <w:rPr>
          <w:rFonts w:hint="eastAsia" w:ascii="仿宋_GB2312" w:hAnsi="仿宋_GB2312" w:eastAsia="仿宋_GB2312" w:cs="仿宋_GB2312"/>
          <w:color w:val="000000"/>
          <w:sz w:val="24"/>
          <w:szCs w:val="24"/>
          <w:highlight w:val="none"/>
          <w:lang w:eastAsia="zh-CN"/>
        </w:rPr>
        <w:t>团队</w:t>
      </w:r>
      <w:r>
        <w:rPr>
          <w:rFonts w:hint="eastAsia" w:ascii="仿宋_GB2312" w:hAnsi="仿宋_GB2312" w:eastAsia="仿宋_GB2312" w:cs="仿宋_GB2312"/>
          <w:color w:val="000000"/>
          <w:sz w:val="24"/>
          <w:szCs w:val="24"/>
          <w:highlight w:val="none"/>
        </w:rPr>
        <w:t>，我们将对您的案件进行全面、细致的调查。我们将根据您提供的资料、陈述及相关法律要求进行深入研究，并尽一切努力提供准确、可靠的法律意见。我们将遵循法律、道德和职业规范，为您争取最大的利益。</w:t>
      </w:r>
    </w:p>
    <w:p>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我们将以高度的责任心和专业精神为贵公司提供法律服务。我们将尽最大努力保证服务交付的及时性和高效性，</w:t>
      </w:r>
      <w:r>
        <w:rPr>
          <w:rFonts w:hint="eastAsia" w:ascii="仿宋_GB2312" w:hAnsi="仿宋_GB2312" w:eastAsia="仿宋_GB2312" w:cs="仿宋_GB2312"/>
          <w:color w:val="000000"/>
          <w:sz w:val="24"/>
          <w:szCs w:val="24"/>
          <w:highlight w:val="none"/>
          <w:lang w:eastAsia="zh-CN"/>
        </w:rPr>
        <w:t>针对贵公司就本案件的电话咨询，我们承诺即时予以答复；针对贵公司就本案件的书面材料（法律意见书、诉讼相关文书等）我们承诺在</w:t>
      </w:r>
      <w:r>
        <w:rPr>
          <w:rFonts w:hint="eastAsia" w:ascii="仿宋_GB2312" w:hAnsi="仿宋_GB2312" w:eastAsia="仿宋_GB2312" w:cs="仿宋_GB2312"/>
          <w:color w:val="000000"/>
          <w:sz w:val="24"/>
          <w:szCs w:val="24"/>
          <w:highlight w:val="none"/>
          <w:lang w:val="en-US" w:eastAsia="zh-CN"/>
        </w:rPr>
        <w:t>48小时内予以反馈</w:t>
      </w:r>
      <w:r>
        <w:rPr>
          <w:rFonts w:hint="eastAsia" w:ascii="仿宋_GB2312" w:hAnsi="仿宋_GB2312" w:eastAsia="仿宋_GB2312" w:cs="仿宋_GB2312"/>
          <w:color w:val="000000"/>
          <w:sz w:val="24"/>
          <w:szCs w:val="24"/>
          <w:highlight w:val="none"/>
        </w:rPr>
        <w:t>。</w:t>
      </w:r>
    </w:p>
    <w:p>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特此承诺。</w:t>
      </w:r>
    </w:p>
    <w:p>
      <w:pPr>
        <w:widowControl/>
        <w:adjustRightInd w:val="0"/>
        <w:snapToGrid w:val="0"/>
        <w:spacing w:after="0" w:line="360" w:lineRule="auto"/>
        <w:jc w:val="both"/>
        <w:rPr>
          <w:rFonts w:hint="eastAsia" w:ascii="仿宋_GB2312" w:hAnsi="仿宋_GB2312" w:eastAsia="仿宋_GB2312" w:cs="仿宋_GB2312"/>
          <w:color w:val="000000"/>
          <w:sz w:val="24"/>
          <w:szCs w:val="24"/>
          <w:highlight w:val="none"/>
        </w:rPr>
      </w:pPr>
    </w:p>
    <w:p>
      <w:pPr>
        <w:widowControl/>
        <w:adjustRightInd w:val="0"/>
        <w:snapToGrid w:val="0"/>
        <w:spacing w:after="0" w:line="360" w:lineRule="auto"/>
        <w:jc w:val="both"/>
        <w:rPr>
          <w:rFonts w:hint="eastAsia" w:ascii="仿宋_GB2312" w:hAnsi="仿宋_GB2312" w:eastAsia="仿宋_GB2312" w:cs="仿宋_GB2312"/>
          <w:color w:val="000000"/>
          <w:sz w:val="24"/>
          <w:szCs w:val="24"/>
          <w:highlight w:val="none"/>
        </w:rPr>
      </w:pPr>
    </w:p>
    <w:p>
      <w:pPr>
        <w:widowControl/>
        <w:adjustRightInd w:val="0"/>
        <w:snapToGrid w:val="0"/>
        <w:spacing w:after="0" w:line="360" w:lineRule="auto"/>
        <w:ind w:firstLine="3840" w:firstLineChars="1600"/>
        <w:jc w:val="left"/>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承诺人(</w:t>
      </w:r>
      <w:r>
        <w:rPr>
          <w:rFonts w:hint="eastAsia" w:ascii="仿宋_GB2312" w:hAnsi="仿宋_GB2312" w:eastAsia="仿宋_GB2312" w:cs="仿宋_GB2312"/>
          <w:color w:val="000000"/>
          <w:sz w:val="24"/>
          <w:szCs w:val="24"/>
          <w:highlight w:val="none"/>
          <w:lang w:val="en-US" w:eastAsia="zh-CN"/>
        </w:rPr>
        <w:t>参选人</w:t>
      </w:r>
      <w:r>
        <w:rPr>
          <w:rFonts w:hint="eastAsia" w:ascii="仿宋_GB2312" w:hAnsi="仿宋_GB2312" w:eastAsia="仿宋_GB2312" w:cs="仿宋_GB2312"/>
          <w:color w:val="000000"/>
          <w:sz w:val="24"/>
          <w:szCs w:val="24"/>
          <w:highlight w:val="none"/>
        </w:rPr>
        <w:t>名称)：</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eastAsia="zh-CN"/>
        </w:rPr>
        <w:t>（盖章）</w:t>
      </w:r>
      <w:r>
        <w:rPr>
          <w:rFonts w:hint="eastAsia" w:ascii="仿宋_GB2312" w:hAnsi="仿宋_GB2312" w:eastAsia="仿宋_GB2312" w:cs="仿宋_GB2312"/>
          <w:color w:val="000000"/>
          <w:sz w:val="24"/>
          <w:szCs w:val="24"/>
          <w:highlight w:val="none"/>
          <w:u w:val="single"/>
        </w:rPr>
        <w:t xml:space="preserve">        </w:t>
      </w:r>
    </w:p>
    <w:p>
      <w:pPr>
        <w:widowControl w:val="0"/>
        <w:snapToGrid w:val="0"/>
        <w:spacing w:before="48" w:beforeLines="20" w:after="0" w:line="360" w:lineRule="auto"/>
        <w:ind w:firstLine="5760" w:firstLineChars="24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2025</w:t>
      </w:r>
      <w:r>
        <w:rPr>
          <w:rFonts w:hint="eastAsia" w:ascii="仿宋_GB2312" w:hAnsi="仿宋_GB2312" w:eastAsia="仿宋_GB2312" w:cs="仿宋_GB2312"/>
          <w:color w:val="000000"/>
          <w:sz w:val="24"/>
          <w:szCs w:val="24"/>
          <w:highlight w:val="none"/>
        </w:rPr>
        <w:t xml:space="preserve">年   月 </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 xml:space="preserve"> 日</w:t>
      </w:r>
    </w:p>
    <w:p>
      <w:pPr>
        <w:widowControl/>
        <w:spacing w:after="0" w:line="240" w:lineRule="auto"/>
        <w:jc w:val="left"/>
        <w:rPr>
          <w:rFonts w:ascii="Arial" w:hAnsi="Arial" w:eastAsia="宋体" w:cs="Arial"/>
          <w:color w:val="000000"/>
          <w:sz w:val="24"/>
          <w:szCs w:val="20"/>
          <w:highlight w:val="none"/>
        </w:rPr>
      </w:pPr>
      <w:r>
        <w:rPr>
          <w:rFonts w:ascii="Arial" w:hAnsi="Arial" w:eastAsia="宋体" w:cs="Arial"/>
          <w:color w:val="000000"/>
          <w:sz w:val="24"/>
          <w:szCs w:val="20"/>
          <w:highlight w:val="none"/>
        </w:rPr>
        <w:br w:type="page"/>
      </w:r>
    </w:p>
    <w:p>
      <w:pPr>
        <w:numPr>
          <w:ilvl w:val="0"/>
          <w:numId w:val="0"/>
        </w:numPr>
        <w:spacing w:after="0" w:line="240" w:lineRule="auto"/>
        <w:ind w:leftChars="0"/>
        <w:jc w:val="center"/>
        <w:rPr>
          <w:rFonts w:hint="eastAsia" w:ascii="方正小标宋简体" w:hAnsi="方正小标宋简体" w:eastAsia="方正小标宋简体" w:cs="方正小标宋简体"/>
          <w:b w:val="0"/>
          <w:bCs w:val="0"/>
          <w:color w:val="auto"/>
          <w:kern w:val="2"/>
          <w:sz w:val="36"/>
          <w:szCs w:val="36"/>
          <w:highlight w:val="none"/>
          <w:lang w:val="en-US" w:eastAsia="zh-CN" w:bidi="ar-SA"/>
        </w:rPr>
      </w:pPr>
      <w:r>
        <w:rPr>
          <w:rFonts w:hint="eastAsia" w:ascii="方正小标宋简体" w:hAnsi="方正小标宋简体" w:eastAsia="方正小标宋简体" w:cs="方正小标宋简体"/>
          <w:b w:val="0"/>
          <w:bCs w:val="0"/>
          <w:color w:val="auto"/>
          <w:kern w:val="2"/>
          <w:sz w:val="36"/>
          <w:szCs w:val="36"/>
          <w:highlight w:val="none"/>
          <w:lang w:val="en-US" w:eastAsia="zh-CN" w:bidi="ar-SA"/>
        </w:rPr>
        <w:t>五、服务方案</w:t>
      </w:r>
    </w:p>
    <w:p>
      <w:pPr>
        <w:numPr>
          <w:ilvl w:val="0"/>
          <w:numId w:val="0"/>
        </w:numPr>
        <w:spacing w:after="0" w:line="240" w:lineRule="auto"/>
        <w:jc w:val="center"/>
        <w:rPr>
          <w:rFonts w:hint="eastAsia" w:ascii="仿宋_GB2312" w:hAnsi="仿宋_GB2312" w:eastAsia="仿宋_GB2312" w:cs="仿宋_GB2312"/>
          <w:b w:val="0"/>
          <w:bCs w:val="0"/>
          <w:color w:val="auto"/>
          <w:kern w:val="2"/>
          <w:sz w:val="36"/>
          <w:szCs w:val="36"/>
          <w:highlight w:val="none"/>
          <w:lang w:val="en-US" w:eastAsia="zh-CN" w:bidi="ar-SA"/>
        </w:rPr>
      </w:pPr>
      <w:r>
        <w:rPr>
          <w:rFonts w:hint="eastAsia" w:ascii="仿宋_GB2312" w:hAnsi="仿宋_GB2312" w:eastAsia="仿宋_GB2312" w:cs="仿宋_GB2312"/>
          <w:b w:val="0"/>
          <w:bCs w:val="0"/>
          <w:color w:val="auto"/>
          <w:kern w:val="2"/>
          <w:sz w:val="36"/>
          <w:szCs w:val="36"/>
          <w:highlight w:val="none"/>
          <w:lang w:val="en-US" w:eastAsia="zh-CN" w:bidi="ar-SA"/>
        </w:rPr>
        <w:t>（格式自拟）</w:t>
      </w: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pPr>
        <w:pStyle w:val="5"/>
        <w:spacing w:after="0" w:line="360" w:lineRule="auto"/>
        <w:ind w:left="0" w:right="0"/>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、其他资料</w:t>
      </w:r>
      <w:r>
        <w:rPr>
          <w:rFonts w:hint="eastAsia" w:ascii="宋体" w:hAnsi="宋体" w:eastAsia="宋体" w:cs="宋体"/>
          <w:b/>
          <w:bCs/>
          <w:color w:val="auto"/>
          <w:sz w:val="36"/>
          <w:szCs w:val="36"/>
          <w:highlight w:val="none"/>
          <w:lang w:eastAsia="zh-CN"/>
        </w:rPr>
        <w:t>（如有）</w:t>
      </w:r>
    </w:p>
    <w:p>
      <w:pPr>
        <w:rPr>
          <w:rFonts w:ascii="宋体" w:hAnsi="宋体" w:eastAsia="宋体"/>
          <w:color w:val="auto"/>
          <w:highlight w:val="none"/>
        </w:rPr>
      </w:pPr>
      <w:r>
        <w:rPr>
          <w:rFonts w:hint="eastAsia" w:ascii="宋体" w:hAnsi="宋体" w:cs="宋体"/>
          <w:color w:val="auto"/>
          <w:sz w:val="24"/>
          <w:szCs w:val="24"/>
          <w:highlight w:val="none"/>
        </w:rPr>
        <w:t>注：</w:t>
      </w:r>
      <w:r>
        <w:rPr>
          <w:rFonts w:hint="eastAsia" w:ascii="宋体" w:hAnsi="宋体" w:eastAsia="宋体" w:cs="宋体"/>
          <w:color w:val="auto"/>
          <w:sz w:val="24"/>
          <w:szCs w:val="24"/>
          <w:highlight w:val="none"/>
          <w:lang w:val="en-US" w:eastAsia="zh-CN"/>
        </w:rPr>
        <w:t>比选</w:t>
      </w:r>
      <w:r>
        <w:rPr>
          <w:rFonts w:hint="eastAsia" w:ascii="宋体" w:hAnsi="宋体" w:cs="宋体"/>
          <w:color w:val="auto"/>
          <w:sz w:val="24"/>
          <w:szCs w:val="24"/>
          <w:highlight w:val="none"/>
        </w:rPr>
        <w:t>文件要求提交的其他文件或</w:t>
      </w:r>
      <w:r>
        <w:rPr>
          <w:rFonts w:hint="eastAsia" w:ascii="宋体" w:hAnsi="宋体" w:eastAsia="宋体" w:cs="宋体"/>
          <w:color w:val="auto"/>
          <w:sz w:val="24"/>
          <w:szCs w:val="24"/>
          <w:highlight w:val="none"/>
          <w:lang w:val="en-US" w:eastAsia="zh-CN"/>
        </w:rPr>
        <w:t>参选人</w:t>
      </w:r>
      <w:r>
        <w:rPr>
          <w:rFonts w:hint="eastAsia" w:ascii="宋体" w:hAnsi="宋体" w:cs="宋体"/>
          <w:color w:val="auto"/>
          <w:sz w:val="24"/>
          <w:szCs w:val="24"/>
          <w:highlight w:val="none"/>
        </w:rPr>
        <w:t>认为需补充说明的资料</w:t>
      </w:r>
      <w:r>
        <w:rPr>
          <w:rFonts w:hint="eastAsia" w:ascii="宋体" w:hAnsi="宋体" w:eastAsia="宋体" w:cs="宋体"/>
          <w:color w:val="auto"/>
          <w:sz w:val="24"/>
          <w:szCs w:val="24"/>
          <w:highlight w:val="none"/>
        </w:rPr>
        <w:t>。</w:t>
      </w:r>
    </w:p>
    <w:sectPr>
      <w:pgSz w:w="12240" w:h="15840"/>
      <w:pgMar w:top="1440" w:right="1440" w:bottom="1440" w:left="144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宋体"/>
    <w:panose1 w:val="00000000000000000000"/>
    <w:charset w:val="81"/>
    <w:family w:val="roman"/>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小标宋">
    <w:altName w:val="微软雅黑"/>
    <w:panose1 w:val="00000000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rPr>
        <w:rFonts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pPr>
      <w:spacing w:after="0"/>
      <w:ind w:left="360"/>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pPr>
      <w:spacing w:after="0"/>
      <w:ind w:left="360"/>
    </w:pP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rPr>
        <w:rFonts w:eastAsiaTheme="minor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4315"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234087"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8.45pt;mso-position-horizontal:center;mso-position-horizontal-relative:margin;z-index:251659264;mso-width-relative:page;mso-height-relative:page;" filled="f" stroked="f" coordsize="21600,21600" o:gfxdata="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iTyzUAAAABAEAAA8AAAAAAAAAAQAgAAAAIgAAAGRycy9kb3ducmV2&#10;LnhtbFBLAQIUABQAAAAIAIdO4kD6ngxwOQIAAGQEAAAOAAAAAAAAAAEAIAAAACMBAABkcnMvZTJv&#10;RG9jLnhtbFBLBQYAAAAABgAGAFkBAADO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rPr>
        <w:rFonts w:ascii="Times New Roman" w:hAnsi="Times New Roman" w:eastAsia="仿宋_GB2312" w:cs="Times New Roman"/>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rPr>
        <w:rFonts w:ascii="Times New Roman" w:hAnsi="Times New Roman" w:eastAsia="仿宋_GB2312" w:cs="Times New Roman"/>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11684406"/>
                          </w:sdtPr>
                          <w:sdtContent>
                            <w:p>
                              <w:pPr>
                                <w:pStyle w:val="20"/>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1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711684406"/>
                    </w:sdtPr>
                    <w:sdtContent>
                      <w:p>
                        <w:pPr>
                          <w:pStyle w:val="20"/>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18"/>
                    </w:pPr>
                  </w:p>
                </w:txbxContent>
              </v:textbox>
            </v:shape>
          </w:pict>
        </mc:Fallback>
      </mc:AlternateContent>
    </w:r>
  </w:p>
  <w:p>
    <w:pPr>
      <w:widowControl w:val="0"/>
      <w:snapToGrid w:val="0"/>
      <w:rPr>
        <w:rFonts w:ascii="Times New Roman" w:hAnsi="Times New Roman" w:eastAsia="仿宋_GB2312"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8B7D6"/>
    <w:multiLevelType w:val="singleLevel"/>
    <w:tmpl w:val="02E8B7D6"/>
    <w:lvl w:ilvl="0" w:tentative="0">
      <w:start w:val="3"/>
      <w:numFmt w:val="chineseCounting"/>
      <w:suff w:val="space"/>
      <w:lvlText w:val="第%1章"/>
      <w:lvlJc w:val="left"/>
      <w:rPr>
        <w:rFonts w:hint="eastAsia"/>
      </w:rPr>
    </w:lvl>
  </w:abstractNum>
  <w:abstractNum w:abstractNumId="1">
    <w:nsid w:val="24B3B480"/>
    <w:multiLevelType w:val="singleLevel"/>
    <w:tmpl w:val="24B3B480"/>
    <w:lvl w:ilvl="0" w:tentative="0">
      <w:start w:val="1"/>
      <w:numFmt w:val="chineseCounting"/>
      <w:suff w:val="nothing"/>
      <w:lvlText w:val="%1、"/>
      <w:lvlJc w:val="left"/>
      <w:rPr>
        <w:rFonts w:hint="eastAsia"/>
      </w:rPr>
    </w:lvl>
  </w:abstractNum>
  <w:abstractNum w:abstractNumId="2">
    <w:nsid w:val="2DAC7213"/>
    <w:multiLevelType w:val="singleLevel"/>
    <w:tmpl w:val="2DAC7213"/>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yZDBlNDcxZDI1YmNmYzgzNmRiOWVhMGYzOGZjOTQifQ=="/>
  </w:docVars>
  <w:rsids>
    <w:rsidRoot w:val="00172A27"/>
    <w:rsid w:val="0001198A"/>
    <w:rsid w:val="00014D9D"/>
    <w:rsid w:val="00015A06"/>
    <w:rsid w:val="00021E50"/>
    <w:rsid w:val="00027930"/>
    <w:rsid w:val="00044456"/>
    <w:rsid w:val="00054A25"/>
    <w:rsid w:val="000662F6"/>
    <w:rsid w:val="000735AF"/>
    <w:rsid w:val="0007792D"/>
    <w:rsid w:val="00084446"/>
    <w:rsid w:val="00084D91"/>
    <w:rsid w:val="0008672F"/>
    <w:rsid w:val="00090DAE"/>
    <w:rsid w:val="00091A3B"/>
    <w:rsid w:val="000A033F"/>
    <w:rsid w:val="000A36B5"/>
    <w:rsid w:val="000A725D"/>
    <w:rsid w:val="000A7B29"/>
    <w:rsid w:val="000B7599"/>
    <w:rsid w:val="000C002D"/>
    <w:rsid w:val="000C0370"/>
    <w:rsid w:val="000C1FBF"/>
    <w:rsid w:val="000C24D7"/>
    <w:rsid w:val="000C5F6C"/>
    <w:rsid w:val="000D16FA"/>
    <w:rsid w:val="000F502B"/>
    <w:rsid w:val="000F5953"/>
    <w:rsid w:val="000F743F"/>
    <w:rsid w:val="001112E5"/>
    <w:rsid w:val="001113BD"/>
    <w:rsid w:val="001149E1"/>
    <w:rsid w:val="00114CCB"/>
    <w:rsid w:val="0011506F"/>
    <w:rsid w:val="0012211F"/>
    <w:rsid w:val="00130911"/>
    <w:rsid w:val="00130990"/>
    <w:rsid w:val="001323EA"/>
    <w:rsid w:val="00136ADA"/>
    <w:rsid w:val="00143594"/>
    <w:rsid w:val="0014382B"/>
    <w:rsid w:val="00144687"/>
    <w:rsid w:val="00151A29"/>
    <w:rsid w:val="00153B1A"/>
    <w:rsid w:val="00156E11"/>
    <w:rsid w:val="0016622A"/>
    <w:rsid w:val="00175303"/>
    <w:rsid w:val="0017629B"/>
    <w:rsid w:val="0017753D"/>
    <w:rsid w:val="00181D75"/>
    <w:rsid w:val="00183742"/>
    <w:rsid w:val="001843AE"/>
    <w:rsid w:val="0019084A"/>
    <w:rsid w:val="00192FF1"/>
    <w:rsid w:val="0019619B"/>
    <w:rsid w:val="001A1AE6"/>
    <w:rsid w:val="001A2855"/>
    <w:rsid w:val="001B376F"/>
    <w:rsid w:val="001C3602"/>
    <w:rsid w:val="001D3FE7"/>
    <w:rsid w:val="001D6BDB"/>
    <w:rsid w:val="001D6E3D"/>
    <w:rsid w:val="001E39BA"/>
    <w:rsid w:val="001F7125"/>
    <w:rsid w:val="00203D00"/>
    <w:rsid w:val="0020419F"/>
    <w:rsid w:val="00206292"/>
    <w:rsid w:val="00217EF6"/>
    <w:rsid w:val="00225D05"/>
    <w:rsid w:val="00227C14"/>
    <w:rsid w:val="002319EE"/>
    <w:rsid w:val="00232CCF"/>
    <w:rsid w:val="0023500B"/>
    <w:rsid w:val="002353C3"/>
    <w:rsid w:val="00235593"/>
    <w:rsid w:val="0023621F"/>
    <w:rsid w:val="002409E0"/>
    <w:rsid w:val="00245A9E"/>
    <w:rsid w:val="00245D1A"/>
    <w:rsid w:val="002562EC"/>
    <w:rsid w:val="00257260"/>
    <w:rsid w:val="00265934"/>
    <w:rsid w:val="00266701"/>
    <w:rsid w:val="00275703"/>
    <w:rsid w:val="002772AD"/>
    <w:rsid w:val="00282841"/>
    <w:rsid w:val="002876B8"/>
    <w:rsid w:val="002954E1"/>
    <w:rsid w:val="002A42C3"/>
    <w:rsid w:val="002A7229"/>
    <w:rsid w:val="002B07B4"/>
    <w:rsid w:val="002B1B51"/>
    <w:rsid w:val="002B1DB3"/>
    <w:rsid w:val="002B5AF8"/>
    <w:rsid w:val="002B7298"/>
    <w:rsid w:val="002C0AAA"/>
    <w:rsid w:val="002D4BB1"/>
    <w:rsid w:val="002D55CB"/>
    <w:rsid w:val="002D6FAB"/>
    <w:rsid w:val="002D72E3"/>
    <w:rsid w:val="002E5B34"/>
    <w:rsid w:val="002F35E9"/>
    <w:rsid w:val="0031007C"/>
    <w:rsid w:val="003113C1"/>
    <w:rsid w:val="003113FA"/>
    <w:rsid w:val="00312557"/>
    <w:rsid w:val="00313871"/>
    <w:rsid w:val="003168CE"/>
    <w:rsid w:val="00331BD9"/>
    <w:rsid w:val="00341E17"/>
    <w:rsid w:val="00342416"/>
    <w:rsid w:val="00345595"/>
    <w:rsid w:val="00350F41"/>
    <w:rsid w:val="003536AB"/>
    <w:rsid w:val="00355F55"/>
    <w:rsid w:val="00357B2F"/>
    <w:rsid w:val="003601DB"/>
    <w:rsid w:val="0036275B"/>
    <w:rsid w:val="003707A0"/>
    <w:rsid w:val="00386A2B"/>
    <w:rsid w:val="003905B3"/>
    <w:rsid w:val="003914C2"/>
    <w:rsid w:val="0039247F"/>
    <w:rsid w:val="00392FEB"/>
    <w:rsid w:val="00394DCF"/>
    <w:rsid w:val="003A39E1"/>
    <w:rsid w:val="003A75B6"/>
    <w:rsid w:val="003A7FA5"/>
    <w:rsid w:val="003C0331"/>
    <w:rsid w:val="003C2894"/>
    <w:rsid w:val="003D167A"/>
    <w:rsid w:val="003D355B"/>
    <w:rsid w:val="003D40EE"/>
    <w:rsid w:val="003D541E"/>
    <w:rsid w:val="003E136C"/>
    <w:rsid w:val="003F325D"/>
    <w:rsid w:val="0041089E"/>
    <w:rsid w:val="00413AF8"/>
    <w:rsid w:val="00417698"/>
    <w:rsid w:val="004207A9"/>
    <w:rsid w:val="004417EE"/>
    <w:rsid w:val="00442C03"/>
    <w:rsid w:val="00455F24"/>
    <w:rsid w:val="00463BB4"/>
    <w:rsid w:val="004673B9"/>
    <w:rsid w:val="00467CBF"/>
    <w:rsid w:val="00470117"/>
    <w:rsid w:val="0047146D"/>
    <w:rsid w:val="004775A7"/>
    <w:rsid w:val="00480C5D"/>
    <w:rsid w:val="00483C33"/>
    <w:rsid w:val="00486F58"/>
    <w:rsid w:val="00487FF1"/>
    <w:rsid w:val="004929AE"/>
    <w:rsid w:val="00496490"/>
    <w:rsid w:val="00497326"/>
    <w:rsid w:val="004A16D3"/>
    <w:rsid w:val="004A1FD0"/>
    <w:rsid w:val="004A5F86"/>
    <w:rsid w:val="004A7824"/>
    <w:rsid w:val="004B5C62"/>
    <w:rsid w:val="004B7999"/>
    <w:rsid w:val="004C0B5D"/>
    <w:rsid w:val="004C5AA6"/>
    <w:rsid w:val="004C65E0"/>
    <w:rsid w:val="004C76C8"/>
    <w:rsid w:val="004D3E32"/>
    <w:rsid w:val="004D4511"/>
    <w:rsid w:val="004D673E"/>
    <w:rsid w:val="004F0B65"/>
    <w:rsid w:val="004F76CB"/>
    <w:rsid w:val="00501E57"/>
    <w:rsid w:val="005030C5"/>
    <w:rsid w:val="0050331B"/>
    <w:rsid w:val="00503E48"/>
    <w:rsid w:val="005042F1"/>
    <w:rsid w:val="0050641E"/>
    <w:rsid w:val="005071CE"/>
    <w:rsid w:val="005103AA"/>
    <w:rsid w:val="005109AD"/>
    <w:rsid w:val="005111FB"/>
    <w:rsid w:val="00514976"/>
    <w:rsid w:val="0051790D"/>
    <w:rsid w:val="00522817"/>
    <w:rsid w:val="00522837"/>
    <w:rsid w:val="00526051"/>
    <w:rsid w:val="00526FA1"/>
    <w:rsid w:val="00536CA1"/>
    <w:rsid w:val="0054650C"/>
    <w:rsid w:val="00554668"/>
    <w:rsid w:val="00555533"/>
    <w:rsid w:val="0055687C"/>
    <w:rsid w:val="005710D4"/>
    <w:rsid w:val="00573035"/>
    <w:rsid w:val="00583AFB"/>
    <w:rsid w:val="005845EB"/>
    <w:rsid w:val="0059254D"/>
    <w:rsid w:val="00593036"/>
    <w:rsid w:val="005A1E03"/>
    <w:rsid w:val="005A4F33"/>
    <w:rsid w:val="005B3064"/>
    <w:rsid w:val="005B6DD3"/>
    <w:rsid w:val="005C0F6E"/>
    <w:rsid w:val="005C25C4"/>
    <w:rsid w:val="005C404E"/>
    <w:rsid w:val="005C56BB"/>
    <w:rsid w:val="005C5AFC"/>
    <w:rsid w:val="005D1C46"/>
    <w:rsid w:val="005D65A7"/>
    <w:rsid w:val="005E120D"/>
    <w:rsid w:val="005F24E8"/>
    <w:rsid w:val="0060061C"/>
    <w:rsid w:val="00602272"/>
    <w:rsid w:val="00605C0C"/>
    <w:rsid w:val="00606B9E"/>
    <w:rsid w:val="00622F00"/>
    <w:rsid w:val="006304A8"/>
    <w:rsid w:val="0064694E"/>
    <w:rsid w:val="0065041A"/>
    <w:rsid w:val="00650D7A"/>
    <w:rsid w:val="00656642"/>
    <w:rsid w:val="00656C32"/>
    <w:rsid w:val="00662BFE"/>
    <w:rsid w:val="006636FF"/>
    <w:rsid w:val="006639D9"/>
    <w:rsid w:val="00667848"/>
    <w:rsid w:val="00677DDC"/>
    <w:rsid w:val="006800B9"/>
    <w:rsid w:val="00680550"/>
    <w:rsid w:val="0068065C"/>
    <w:rsid w:val="006828C6"/>
    <w:rsid w:val="00682C04"/>
    <w:rsid w:val="006904C9"/>
    <w:rsid w:val="006915AC"/>
    <w:rsid w:val="006A22F3"/>
    <w:rsid w:val="006A5168"/>
    <w:rsid w:val="006B03DF"/>
    <w:rsid w:val="006B7F17"/>
    <w:rsid w:val="006C1756"/>
    <w:rsid w:val="006C7E97"/>
    <w:rsid w:val="006D2124"/>
    <w:rsid w:val="006D543C"/>
    <w:rsid w:val="006E3DB4"/>
    <w:rsid w:val="006F1D5C"/>
    <w:rsid w:val="006F623D"/>
    <w:rsid w:val="00704597"/>
    <w:rsid w:val="007078A0"/>
    <w:rsid w:val="0071082B"/>
    <w:rsid w:val="00720918"/>
    <w:rsid w:val="00730E1F"/>
    <w:rsid w:val="00731F11"/>
    <w:rsid w:val="0073272E"/>
    <w:rsid w:val="00733BD1"/>
    <w:rsid w:val="0074477D"/>
    <w:rsid w:val="00745590"/>
    <w:rsid w:val="0076190E"/>
    <w:rsid w:val="007645E6"/>
    <w:rsid w:val="007674AB"/>
    <w:rsid w:val="007842EC"/>
    <w:rsid w:val="007862B8"/>
    <w:rsid w:val="00787089"/>
    <w:rsid w:val="007B5A9B"/>
    <w:rsid w:val="007B6755"/>
    <w:rsid w:val="007B7211"/>
    <w:rsid w:val="007C0D3D"/>
    <w:rsid w:val="007C37E2"/>
    <w:rsid w:val="007D0717"/>
    <w:rsid w:val="007D4FE4"/>
    <w:rsid w:val="007E3495"/>
    <w:rsid w:val="007E5528"/>
    <w:rsid w:val="007E6AE0"/>
    <w:rsid w:val="007F3E65"/>
    <w:rsid w:val="00800CDF"/>
    <w:rsid w:val="008020F3"/>
    <w:rsid w:val="008029E1"/>
    <w:rsid w:val="00807CAC"/>
    <w:rsid w:val="00811DF1"/>
    <w:rsid w:val="00813125"/>
    <w:rsid w:val="00814239"/>
    <w:rsid w:val="00817F3D"/>
    <w:rsid w:val="00821C30"/>
    <w:rsid w:val="0082278D"/>
    <w:rsid w:val="00822FD8"/>
    <w:rsid w:val="00826665"/>
    <w:rsid w:val="00826847"/>
    <w:rsid w:val="00830FCF"/>
    <w:rsid w:val="008472C4"/>
    <w:rsid w:val="00850CFD"/>
    <w:rsid w:val="008552D9"/>
    <w:rsid w:val="0086279F"/>
    <w:rsid w:val="008703D3"/>
    <w:rsid w:val="00890D3E"/>
    <w:rsid w:val="00892FD2"/>
    <w:rsid w:val="008933B6"/>
    <w:rsid w:val="00894F40"/>
    <w:rsid w:val="008A2B4D"/>
    <w:rsid w:val="008B01EB"/>
    <w:rsid w:val="008B47C4"/>
    <w:rsid w:val="008B507D"/>
    <w:rsid w:val="008C0E87"/>
    <w:rsid w:val="008C3E9A"/>
    <w:rsid w:val="008C53C1"/>
    <w:rsid w:val="008D2F09"/>
    <w:rsid w:val="008D5E07"/>
    <w:rsid w:val="008E243C"/>
    <w:rsid w:val="008F0B43"/>
    <w:rsid w:val="008F3CDF"/>
    <w:rsid w:val="008F49ED"/>
    <w:rsid w:val="008F7275"/>
    <w:rsid w:val="008F7BAF"/>
    <w:rsid w:val="00902B12"/>
    <w:rsid w:val="00906786"/>
    <w:rsid w:val="00911707"/>
    <w:rsid w:val="0091290F"/>
    <w:rsid w:val="00913285"/>
    <w:rsid w:val="00916776"/>
    <w:rsid w:val="0091720B"/>
    <w:rsid w:val="009178E1"/>
    <w:rsid w:val="009215C3"/>
    <w:rsid w:val="00922DF6"/>
    <w:rsid w:val="00923F93"/>
    <w:rsid w:val="00926038"/>
    <w:rsid w:val="00927021"/>
    <w:rsid w:val="009366E5"/>
    <w:rsid w:val="00937149"/>
    <w:rsid w:val="00941F62"/>
    <w:rsid w:val="00947AAF"/>
    <w:rsid w:val="00950486"/>
    <w:rsid w:val="00953347"/>
    <w:rsid w:val="0095477B"/>
    <w:rsid w:val="00962445"/>
    <w:rsid w:val="00964788"/>
    <w:rsid w:val="00965655"/>
    <w:rsid w:val="00965BEB"/>
    <w:rsid w:val="00975B47"/>
    <w:rsid w:val="00990281"/>
    <w:rsid w:val="009A73AD"/>
    <w:rsid w:val="009B21B9"/>
    <w:rsid w:val="009D3941"/>
    <w:rsid w:val="009D3D66"/>
    <w:rsid w:val="009D72E6"/>
    <w:rsid w:val="009D7900"/>
    <w:rsid w:val="009E3CD1"/>
    <w:rsid w:val="009F0EB8"/>
    <w:rsid w:val="009F136A"/>
    <w:rsid w:val="009F1EE7"/>
    <w:rsid w:val="009F2016"/>
    <w:rsid w:val="009F64FA"/>
    <w:rsid w:val="009F65D0"/>
    <w:rsid w:val="00A12DCF"/>
    <w:rsid w:val="00A17129"/>
    <w:rsid w:val="00A21E2B"/>
    <w:rsid w:val="00A32526"/>
    <w:rsid w:val="00A33C7B"/>
    <w:rsid w:val="00A35396"/>
    <w:rsid w:val="00A418A6"/>
    <w:rsid w:val="00A46E2D"/>
    <w:rsid w:val="00A50513"/>
    <w:rsid w:val="00A52C55"/>
    <w:rsid w:val="00A62A04"/>
    <w:rsid w:val="00A767CB"/>
    <w:rsid w:val="00A80DB7"/>
    <w:rsid w:val="00A812B3"/>
    <w:rsid w:val="00A8280F"/>
    <w:rsid w:val="00A8362E"/>
    <w:rsid w:val="00A86915"/>
    <w:rsid w:val="00A935A1"/>
    <w:rsid w:val="00A95BD1"/>
    <w:rsid w:val="00A95D22"/>
    <w:rsid w:val="00AA224F"/>
    <w:rsid w:val="00AB7A64"/>
    <w:rsid w:val="00AC4FB2"/>
    <w:rsid w:val="00AC7B97"/>
    <w:rsid w:val="00AD1F92"/>
    <w:rsid w:val="00AD21B0"/>
    <w:rsid w:val="00AD5DE0"/>
    <w:rsid w:val="00AD74EB"/>
    <w:rsid w:val="00AE10BB"/>
    <w:rsid w:val="00AE2EBA"/>
    <w:rsid w:val="00AE5382"/>
    <w:rsid w:val="00AF4A8A"/>
    <w:rsid w:val="00B010A3"/>
    <w:rsid w:val="00B045C5"/>
    <w:rsid w:val="00B0528B"/>
    <w:rsid w:val="00B10050"/>
    <w:rsid w:val="00B1482C"/>
    <w:rsid w:val="00B2277D"/>
    <w:rsid w:val="00B25178"/>
    <w:rsid w:val="00B2564C"/>
    <w:rsid w:val="00B47BA6"/>
    <w:rsid w:val="00B47FFC"/>
    <w:rsid w:val="00B54199"/>
    <w:rsid w:val="00B559C6"/>
    <w:rsid w:val="00B55FA4"/>
    <w:rsid w:val="00B5683A"/>
    <w:rsid w:val="00B57A40"/>
    <w:rsid w:val="00B66121"/>
    <w:rsid w:val="00B67551"/>
    <w:rsid w:val="00B8519F"/>
    <w:rsid w:val="00B92755"/>
    <w:rsid w:val="00B9437C"/>
    <w:rsid w:val="00B9497C"/>
    <w:rsid w:val="00B97D42"/>
    <w:rsid w:val="00BA70F7"/>
    <w:rsid w:val="00BB101E"/>
    <w:rsid w:val="00BB237A"/>
    <w:rsid w:val="00BC4610"/>
    <w:rsid w:val="00BD1C66"/>
    <w:rsid w:val="00BD3507"/>
    <w:rsid w:val="00BD6111"/>
    <w:rsid w:val="00BE5E2F"/>
    <w:rsid w:val="00BF1259"/>
    <w:rsid w:val="00BF3781"/>
    <w:rsid w:val="00BF415D"/>
    <w:rsid w:val="00BF56E8"/>
    <w:rsid w:val="00BF767D"/>
    <w:rsid w:val="00C019D5"/>
    <w:rsid w:val="00C1235A"/>
    <w:rsid w:val="00C232A0"/>
    <w:rsid w:val="00C266BD"/>
    <w:rsid w:val="00C32EAF"/>
    <w:rsid w:val="00C3412D"/>
    <w:rsid w:val="00C40FDF"/>
    <w:rsid w:val="00C45BFF"/>
    <w:rsid w:val="00C47882"/>
    <w:rsid w:val="00C5147F"/>
    <w:rsid w:val="00C574FD"/>
    <w:rsid w:val="00C6697C"/>
    <w:rsid w:val="00C67D86"/>
    <w:rsid w:val="00C724EA"/>
    <w:rsid w:val="00C825DC"/>
    <w:rsid w:val="00C84CA6"/>
    <w:rsid w:val="00C91393"/>
    <w:rsid w:val="00C9229B"/>
    <w:rsid w:val="00C9296F"/>
    <w:rsid w:val="00C94B43"/>
    <w:rsid w:val="00C95E66"/>
    <w:rsid w:val="00C96AD4"/>
    <w:rsid w:val="00C96B57"/>
    <w:rsid w:val="00CA3162"/>
    <w:rsid w:val="00CA4B97"/>
    <w:rsid w:val="00CA64EE"/>
    <w:rsid w:val="00CB0412"/>
    <w:rsid w:val="00CB69FD"/>
    <w:rsid w:val="00CB6B3A"/>
    <w:rsid w:val="00CC4C62"/>
    <w:rsid w:val="00CD0EF3"/>
    <w:rsid w:val="00CE00B1"/>
    <w:rsid w:val="00CE1687"/>
    <w:rsid w:val="00CE55E5"/>
    <w:rsid w:val="00CE7225"/>
    <w:rsid w:val="00CF2B52"/>
    <w:rsid w:val="00CF4DBD"/>
    <w:rsid w:val="00CF6A9D"/>
    <w:rsid w:val="00D056CE"/>
    <w:rsid w:val="00D2127B"/>
    <w:rsid w:val="00D214A5"/>
    <w:rsid w:val="00D225E9"/>
    <w:rsid w:val="00D229F0"/>
    <w:rsid w:val="00D302C6"/>
    <w:rsid w:val="00D410F3"/>
    <w:rsid w:val="00D41EEC"/>
    <w:rsid w:val="00D516AD"/>
    <w:rsid w:val="00D53234"/>
    <w:rsid w:val="00D54BDF"/>
    <w:rsid w:val="00D605DB"/>
    <w:rsid w:val="00D70AEA"/>
    <w:rsid w:val="00D710A6"/>
    <w:rsid w:val="00D72889"/>
    <w:rsid w:val="00D73D43"/>
    <w:rsid w:val="00D763FA"/>
    <w:rsid w:val="00D926BA"/>
    <w:rsid w:val="00D932EE"/>
    <w:rsid w:val="00DA166A"/>
    <w:rsid w:val="00DB28BE"/>
    <w:rsid w:val="00DC1ABC"/>
    <w:rsid w:val="00DC2466"/>
    <w:rsid w:val="00DC26EB"/>
    <w:rsid w:val="00DC3BC8"/>
    <w:rsid w:val="00DC4467"/>
    <w:rsid w:val="00DC63C0"/>
    <w:rsid w:val="00DC7314"/>
    <w:rsid w:val="00DC7542"/>
    <w:rsid w:val="00DD4480"/>
    <w:rsid w:val="00DD58F4"/>
    <w:rsid w:val="00DE306D"/>
    <w:rsid w:val="00DF0263"/>
    <w:rsid w:val="00E00410"/>
    <w:rsid w:val="00E017AC"/>
    <w:rsid w:val="00E037CE"/>
    <w:rsid w:val="00E03CF0"/>
    <w:rsid w:val="00E12901"/>
    <w:rsid w:val="00E23293"/>
    <w:rsid w:val="00E24BF9"/>
    <w:rsid w:val="00E25647"/>
    <w:rsid w:val="00E340D1"/>
    <w:rsid w:val="00E42DFF"/>
    <w:rsid w:val="00E461A9"/>
    <w:rsid w:val="00E47515"/>
    <w:rsid w:val="00E51F2C"/>
    <w:rsid w:val="00E53D03"/>
    <w:rsid w:val="00E64236"/>
    <w:rsid w:val="00E65F9E"/>
    <w:rsid w:val="00E74CD4"/>
    <w:rsid w:val="00E753B2"/>
    <w:rsid w:val="00E86736"/>
    <w:rsid w:val="00E934B3"/>
    <w:rsid w:val="00E9661C"/>
    <w:rsid w:val="00E97B22"/>
    <w:rsid w:val="00EA7199"/>
    <w:rsid w:val="00EB56A3"/>
    <w:rsid w:val="00ED7409"/>
    <w:rsid w:val="00EF6644"/>
    <w:rsid w:val="00F02F59"/>
    <w:rsid w:val="00F07F70"/>
    <w:rsid w:val="00F11B20"/>
    <w:rsid w:val="00F1515C"/>
    <w:rsid w:val="00F15BCC"/>
    <w:rsid w:val="00F17325"/>
    <w:rsid w:val="00F20D29"/>
    <w:rsid w:val="00F24CAF"/>
    <w:rsid w:val="00F25A64"/>
    <w:rsid w:val="00F32195"/>
    <w:rsid w:val="00F34F50"/>
    <w:rsid w:val="00F422A9"/>
    <w:rsid w:val="00F46788"/>
    <w:rsid w:val="00F517F1"/>
    <w:rsid w:val="00F52478"/>
    <w:rsid w:val="00F528D8"/>
    <w:rsid w:val="00F537F3"/>
    <w:rsid w:val="00F547DA"/>
    <w:rsid w:val="00F66C86"/>
    <w:rsid w:val="00F70969"/>
    <w:rsid w:val="00F72786"/>
    <w:rsid w:val="00F80918"/>
    <w:rsid w:val="00F81B5F"/>
    <w:rsid w:val="00F83F14"/>
    <w:rsid w:val="00F86CBA"/>
    <w:rsid w:val="00F8713F"/>
    <w:rsid w:val="00F917C6"/>
    <w:rsid w:val="00F96741"/>
    <w:rsid w:val="00FA040E"/>
    <w:rsid w:val="00FA22C0"/>
    <w:rsid w:val="00FB5B53"/>
    <w:rsid w:val="00FB7993"/>
    <w:rsid w:val="00FC2CD2"/>
    <w:rsid w:val="00FC6FFE"/>
    <w:rsid w:val="00FE4654"/>
    <w:rsid w:val="00FE7B94"/>
    <w:rsid w:val="00FF0024"/>
    <w:rsid w:val="00FF0B28"/>
    <w:rsid w:val="00FF0C82"/>
    <w:rsid w:val="00FF0E1B"/>
    <w:rsid w:val="00FF2F99"/>
    <w:rsid w:val="00FF6825"/>
    <w:rsid w:val="010B405F"/>
    <w:rsid w:val="01362446"/>
    <w:rsid w:val="013B2B96"/>
    <w:rsid w:val="013F35AE"/>
    <w:rsid w:val="01470E5E"/>
    <w:rsid w:val="015B7B3A"/>
    <w:rsid w:val="01604C53"/>
    <w:rsid w:val="016F0A91"/>
    <w:rsid w:val="01A30F67"/>
    <w:rsid w:val="01A96691"/>
    <w:rsid w:val="01AE594C"/>
    <w:rsid w:val="01B82438"/>
    <w:rsid w:val="01D246D6"/>
    <w:rsid w:val="01D851C8"/>
    <w:rsid w:val="01F33470"/>
    <w:rsid w:val="0216041D"/>
    <w:rsid w:val="02265E3C"/>
    <w:rsid w:val="02377801"/>
    <w:rsid w:val="02452B62"/>
    <w:rsid w:val="025C7A9A"/>
    <w:rsid w:val="0269599F"/>
    <w:rsid w:val="02B26E88"/>
    <w:rsid w:val="031D432A"/>
    <w:rsid w:val="032D7D1B"/>
    <w:rsid w:val="03356FA3"/>
    <w:rsid w:val="03607F3E"/>
    <w:rsid w:val="03674F52"/>
    <w:rsid w:val="036839EA"/>
    <w:rsid w:val="036C1719"/>
    <w:rsid w:val="0374413D"/>
    <w:rsid w:val="039447DF"/>
    <w:rsid w:val="0397679F"/>
    <w:rsid w:val="039F618C"/>
    <w:rsid w:val="03B92498"/>
    <w:rsid w:val="03D35307"/>
    <w:rsid w:val="03F0685D"/>
    <w:rsid w:val="03F86B1C"/>
    <w:rsid w:val="03FF1C76"/>
    <w:rsid w:val="040A0062"/>
    <w:rsid w:val="041F1AE4"/>
    <w:rsid w:val="042E253E"/>
    <w:rsid w:val="044E5A9E"/>
    <w:rsid w:val="045C67C3"/>
    <w:rsid w:val="04D035F5"/>
    <w:rsid w:val="04D70C66"/>
    <w:rsid w:val="04E36D10"/>
    <w:rsid w:val="04E86B91"/>
    <w:rsid w:val="051B2A62"/>
    <w:rsid w:val="056F6B8D"/>
    <w:rsid w:val="0582595C"/>
    <w:rsid w:val="05A4392C"/>
    <w:rsid w:val="05D15877"/>
    <w:rsid w:val="05DB60EB"/>
    <w:rsid w:val="05F253D7"/>
    <w:rsid w:val="05FA7288"/>
    <w:rsid w:val="06256B3D"/>
    <w:rsid w:val="062C0CFF"/>
    <w:rsid w:val="066233F4"/>
    <w:rsid w:val="067A1E38"/>
    <w:rsid w:val="068817C6"/>
    <w:rsid w:val="069B6288"/>
    <w:rsid w:val="06E8731C"/>
    <w:rsid w:val="071214CA"/>
    <w:rsid w:val="072B0FB7"/>
    <w:rsid w:val="073C31C4"/>
    <w:rsid w:val="075F1779"/>
    <w:rsid w:val="07770F35"/>
    <w:rsid w:val="07866B35"/>
    <w:rsid w:val="0788748C"/>
    <w:rsid w:val="078F59E9"/>
    <w:rsid w:val="07925E5E"/>
    <w:rsid w:val="07D13938"/>
    <w:rsid w:val="07D31ACD"/>
    <w:rsid w:val="07D4164E"/>
    <w:rsid w:val="07F76A43"/>
    <w:rsid w:val="08023775"/>
    <w:rsid w:val="0817778D"/>
    <w:rsid w:val="085E4B0D"/>
    <w:rsid w:val="08732C15"/>
    <w:rsid w:val="08737129"/>
    <w:rsid w:val="08A52FEB"/>
    <w:rsid w:val="08BF5E5A"/>
    <w:rsid w:val="08C94F2B"/>
    <w:rsid w:val="08D00067"/>
    <w:rsid w:val="091F5D9E"/>
    <w:rsid w:val="09380277"/>
    <w:rsid w:val="097F0EFE"/>
    <w:rsid w:val="09A25295"/>
    <w:rsid w:val="09C035C1"/>
    <w:rsid w:val="09CD5025"/>
    <w:rsid w:val="09E162A4"/>
    <w:rsid w:val="09E54078"/>
    <w:rsid w:val="09E60BE3"/>
    <w:rsid w:val="09FB7366"/>
    <w:rsid w:val="0A0202F6"/>
    <w:rsid w:val="0A1B5312"/>
    <w:rsid w:val="0A4E7E27"/>
    <w:rsid w:val="0A7B2255"/>
    <w:rsid w:val="0A8F5765"/>
    <w:rsid w:val="0A9B46A5"/>
    <w:rsid w:val="0AA31D59"/>
    <w:rsid w:val="0AB10FD5"/>
    <w:rsid w:val="0AB67731"/>
    <w:rsid w:val="0AF50259"/>
    <w:rsid w:val="0AFB467B"/>
    <w:rsid w:val="0B032EC3"/>
    <w:rsid w:val="0B057D70"/>
    <w:rsid w:val="0B106E41"/>
    <w:rsid w:val="0B1701D0"/>
    <w:rsid w:val="0B245710"/>
    <w:rsid w:val="0B2941F9"/>
    <w:rsid w:val="0B4E7969"/>
    <w:rsid w:val="0B52202C"/>
    <w:rsid w:val="0B6E1DBA"/>
    <w:rsid w:val="0B7E674B"/>
    <w:rsid w:val="0BB53545"/>
    <w:rsid w:val="0BD06CE1"/>
    <w:rsid w:val="0BE744EB"/>
    <w:rsid w:val="0C4548C9"/>
    <w:rsid w:val="0C6D76D9"/>
    <w:rsid w:val="0C6F5DE9"/>
    <w:rsid w:val="0C8D626F"/>
    <w:rsid w:val="0CCB24AB"/>
    <w:rsid w:val="0CDA3E5A"/>
    <w:rsid w:val="0CF54541"/>
    <w:rsid w:val="0D00275D"/>
    <w:rsid w:val="0D002EE5"/>
    <w:rsid w:val="0D004C93"/>
    <w:rsid w:val="0D0E5602"/>
    <w:rsid w:val="0D124240"/>
    <w:rsid w:val="0D220C2C"/>
    <w:rsid w:val="0D30650C"/>
    <w:rsid w:val="0D523741"/>
    <w:rsid w:val="0D5F2EF8"/>
    <w:rsid w:val="0D6071CB"/>
    <w:rsid w:val="0D7F317F"/>
    <w:rsid w:val="0D8D1EA9"/>
    <w:rsid w:val="0DAB71F9"/>
    <w:rsid w:val="0DC210EB"/>
    <w:rsid w:val="0DD979BE"/>
    <w:rsid w:val="0E603C3C"/>
    <w:rsid w:val="0E6F3E7F"/>
    <w:rsid w:val="0E724950"/>
    <w:rsid w:val="0E7616B1"/>
    <w:rsid w:val="0E7B6CC7"/>
    <w:rsid w:val="0EA57089"/>
    <w:rsid w:val="0EA66EBA"/>
    <w:rsid w:val="0EB36461"/>
    <w:rsid w:val="0EBA37C8"/>
    <w:rsid w:val="0EED1247"/>
    <w:rsid w:val="0F136F00"/>
    <w:rsid w:val="0F2B1CE3"/>
    <w:rsid w:val="0F98501B"/>
    <w:rsid w:val="0FCE2E27"/>
    <w:rsid w:val="0FFE087C"/>
    <w:rsid w:val="100D1EE7"/>
    <w:rsid w:val="10223A25"/>
    <w:rsid w:val="102F2C87"/>
    <w:rsid w:val="10352EA6"/>
    <w:rsid w:val="1041184B"/>
    <w:rsid w:val="105831DB"/>
    <w:rsid w:val="105A46BB"/>
    <w:rsid w:val="105B31DD"/>
    <w:rsid w:val="106A6B29"/>
    <w:rsid w:val="10833EBF"/>
    <w:rsid w:val="10E01064"/>
    <w:rsid w:val="10E96997"/>
    <w:rsid w:val="10FE200C"/>
    <w:rsid w:val="11050ACA"/>
    <w:rsid w:val="110C3C07"/>
    <w:rsid w:val="11904838"/>
    <w:rsid w:val="1193257A"/>
    <w:rsid w:val="119A3D1B"/>
    <w:rsid w:val="11BC31DC"/>
    <w:rsid w:val="11CB3AC2"/>
    <w:rsid w:val="11CF2823"/>
    <w:rsid w:val="11E11FBC"/>
    <w:rsid w:val="11F013EE"/>
    <w:rsid w:val="11F320DD"/>
    <w:rsid w:val="12053590"/>
    <w:rsid w:val="122B27B2"/>
    <w:rsid w:val="12311844"/>
    <w:rsid w:val="12311F7A"/>
    <w:rsid w:val="1231532C"/>
    <w:rsid w:val="124619C1"/>
    <w:rsid w:val="124A70DD"/>
    <w:rsid w:val="12577104"/>
    <w:rsid w:val="12661B9C"/>
    <w:rsid w:val="126F02F1"/>
    <w:rsid w:val="127A1E00"/>
    <w:rsid w:val="12A025A3"/>
    <w:rsid w:val="12E54456"/>
    <w:rsid w:val="12EF2E66"/>
    <w:rsid w:val="12F32AEA"/>
    <w:rsid w:val="136631C3"/>
    <w:rsid w:val="13A04ADA"/>
    <w:rsid w:val="13C92283"/>
    <w:rsid w:val="13E56991"/>
    <w:rsid w:val="13E9022F"/>
    <w:rsid w:val="13EB1D7F"/>
    <w:rsid w:val="13EB21F9"/>
    <w:rsid w:val="140245A5"/>
    <w:rsid w:val="142816C8"/>
    <w:rsid w:val="142B717A"/>
    <w:rsid w:val="142D7813"/>
    <w:rsid w:val="145F4995"/>
    <w:rsid w:val="14852E6A"/>
    <w:rsid w:val="149C1746"/>
    <w:rsid w:val="14A14FAE"/>
    <w:rsid w:val="14AB7BDB"/>
    <w:rsid w:val="14B372C5"/>
    <w:rsid w:val="14E76E65"/>
    <w:rsid w:val="14E86739"/>
    <w:rsid w:val="150C2B4E"/>
    <w:rsid w:val="152B2105"/>
    <w:rsid w:val="1537321C"/>
    <w:rsid w:val="15396F94"/>
    <w:rsid w:val="153E377C"/>
    <w:rsid w:val="155913E5"/>
    <w:rsid w:val="156009C5"/>
    <w:rsid w:val="156264EB"/>
    <w:rsid w:val="15923843"/>
    <w:rsid w:val="159D5777"/>
    <w:rsid w:val="15D00760"/>
    <w:rsid w:val="15D434E4"/>
    <w:rsid w:val="15FF261B"/>
    <w:rsid w:val="16081981"/>
    <w:rsid w:val="16380135"/>
    <w:rsid w:val="163910F2"/>
    <w:rsid w:val="163A2FC4"/>
    <w:rsid w:val="163F682C"/>
    <w:rsid w:val="16573B76"/>
    <w:rsid w:val="166167A3"/>
    <w:rsid w:val="16731C0F"/>
    <w:rsid w:val="169E62B8"/>
    <w:rsid w:val="169F1079"/>
    <w:rsid w:val="16A5740C"/>
    <w:rsid w:val="16AE2ECC"/>
    <w:rsid w:val="16B5089D"/>
    <w:rsid w:val="16BA29D5"/>
    <w:rsid w:val="16BA5F72"/>
    <w:rsid w:val="16D161DC"/>
    <w:rsid w:val="16DA7BD2"/>
    <w:rsid w:val="16EB2510"/>
    <w:rsid w:val="16F67CE9"/>
    <w:rsid w:val="1700420E"/>
    <w:rsid w:val="17021357"/>
    <w:rsid w:val="17252CA2"/>
    <w:rsid w:val="172B0B5F"/>
    <w:rsid w:val="17304A11"/>
    <w:rsid w:val="173A7524"/>
    <w:rsid w:val="17884203"/>
    <w:rsid w:val="178A12FB"/>
    <w:rsid w:val="178A3129"/>
    <w:rsid w:val="17913EDE"/>
    <w:rsid w:val="17982698"/>
    <w:rsid w:val="17D03946"/>
    <w:rsid w:val="17D9680D"/>
    <w:rsid w:val="17E9720E"/>
    <w:rsid w:val="1840063A"/>
    <w:rsid w:val="18491BE4"/>
    <w:rsid w:val="189A41EE"/>
    <w:rsid w:val="18A961DF"/>
    <w:rsid w:val="18BA2642"/>
    <w:rsid w:val="18BA4890"/>
    <w:rsid w:val="18CF1CD4"/>
    <w:rsid w:val="18DA283C"/>
    <w:rsid w:val="18E11E1D"/>
    <w:rsid w:val="18F91B53"/>
    <w:rsid w:val="19066BB7"/>
    <w:rsid w:val="191E6BCD"/>
    <w:rsid w:val="19646D86"/>
    <w:rsid w:val="196547FC"/>
    <w:rsid w:val="19781CCC"/>
    <w:rsid w:val="198416B0"/>
    <w:rsid w:val="19960E59"/>
    <w:rsid w:val="19AA220F"/>
    <w:rsid w:val="19CE0BFB"/>
    <w:rsid w:val="19E714A4"/>
    <w:rsid w:val="19EA2F53"/>
    <w:rsid w:val="1A07140F"/>
    <w:rsid w:val="1A3637BB"/>
    <w:rsid w:val="1A3A40CE"/>
    <w:rsid w:val="1A3D12D5"/>
    <w:rsid w:val="1A416449"/>
    <w:rsid w:val="1A421F81"/>
    <w:rsid w:val="1A425633"/>
    <w:rsid w:val="1A676352"/>
    <w:rsid w:val="1A8C6C9A"/>
    <w:rsid w:val="1AA555D7"/>
    <w:rsid w:val="1AE9461B"/>
    <w:rsid w:val="1AF677AA"/>
    <w:rsid w:val="1AFD0C1D"/>
    <w:rsid w:val="1B010F0F"/>
    <w:rsid w:val="1B107F27"/>
    <w:rsid w:val="1B485264"/>
    <w:rsid w:val="1B4E306E"/>
    <w:rsid w:val="1B6D1B01"/>
    <w:rsid w:val="1B7E7DF7"/>
    <w:rsid w:val="1B943177"/>
    <w:rsid w:val="1BAA0860"/>
    <w:rsid w:val="1BC11A92"/>
    <w:rsid w:val="1BE07C46"/>
    <w:rsid w:val="1BFE03CE"/>
    <w:rsid w:val="1C2B3C14"/>
    <w:rsid w:val="1C2D73AE"/>
    <w:rsid w:val="1C3B5886"/>
    <w:rsid w:val="1C484471"/>
    <w:rsid w:val="1C626DD1"/>
    <w:rsid w:val="1C632ED1"/>
    <w:rsid w:val="1C6F14EE"/>
    <w:rsid w:val="1C816AA4"/>
    <w:rsid w:val="1C857A40"/>
    <w:rsid w:val="1C9176B6"/>
    <w:rsid w:val="1C994E1D"/>
    <w:rsid w:val="1C9C22AB"/>
    <w:rsid w:val="1CBE341B"/>
    <w:rsid w:val="1D115DFE"/>
    <w:rsid w:val="1D175E0D"/>
    <w:rsid w:val="1D1B344A"/>
    <w:rsid w:val="1D525097"/>
    <w:rsid w:val="1D5B57FB"/>
    <w:rsid w:val="1D5D1CD8"/>
    <w:rsid w:val="1D660B43"/>
    <w:rsid w:val="1D6628F1"/>
    <w:rsid w:val="1D74500E"/>
    <w:rsid w:val="1D9B5A75"/>
    <w:rsid w:val="1DAA7B30"/>
    <w:rsid w:val="1DDE692B"/>
    <w:rsid w:val="1DE25B8E"/>
    <w:rsid w:val="1DF12B02"/>
    <w:rsid w:val="1E470974"/>
    <w:rsid w:val="1E5E181A"/>
    <w:rsid w:val="1E68518D"/>
    <w:rsid w:val="1E746936"/>
    <w:rsid w:val="1E841676"/>
    <w:rsid w:val="1E8A5647"/>
    <w:rsid w:val="1E8E20FF"/>
    <w:rsid w:val="1EAE454F"/>
    <w:rsid w:val="1EC57AEB"/>
    <w:rsid w:val="1ECE4FD1"/>
    <w:rsid w:val="1ECE7234"/>
    <w:rsid w:val="1EDB63FA"/>
    <w:rsid w:val="1EFC60A0"/>
    <w:rsid w:val="1F182311"/>
    <w:rsid w:val="1F6D3A27"/>
    <w:rsid w:val="1F75506D"/>
    <w:rsid w:val="1F9F033C"/>
    <w:rsid w:val="1FA859FD"/>
    <w:rsid w:val="1FC16504"/>
    <w:rsid w:val="1FC3402A"/>
    <w:rsid w:val="1FCA360B"/>
    <w:rsid w:val="1FE10049"/>
    <w:rsid w:val="20131886"/>
    <w:rsid w:val="204B40BD"/>
    <w:rsid w:val="20607ACB"/>
    <w:rsid w:val="206155F1"/>
    <w:rsid w:val="20735A50"/>
    <w:rsid w:val="208B2F0D"/>
    <w:rsid w:val="208C08C0"/>
    <w:rsid w:val="210A0E5B"/>
    <w:rsid w:val="2136405D"/>
    <w:rsid w:val="2163106E"/>
    <w:rsid w:val="21676C37"/>
    <w:rsid w:val="218965AC"/>
    <w:rsid w:val="21A0181F"/>
    <w:rsid w:val="21CF3036"/>
    <w:rsid w:val="21E708E7"/>
    <w:rsid w:val="21F81FF0"/>
    <w:rsid w:val="222A65E3"/>
    <w:rsid w:val="22314E39"/>
    <w:rsid w:val="22687B5E"/>
    <w:rsid w:val="226A697C"/>
    <w:rsid w:val="22AF7CE1"/>
    <w:rsid w:val="22B42350"/>
    <w:rsid w:val="22CE51C0"/>
    <w:rsid w:val="22DF0308"/>
    <w:rsid w:val="22E06DFF"/>
    <w:rsid w:val="231D6147"/>
    <w:rsid w:val="231E1718"/>
    <w:rsid w:val="233F38A6"/>
    <w:rsid w:val="234B6811"/>
    <w:rsid w:val="2358708E"/>
    <w:rsid w:val="23597F78"/>
    <w:rsid w:val="23690370"/>
    <w:rsid w:val="23713D9D"/>
    <w:rsid w:val="23B5012E"/>
    <w:rsid w:val="23C334C2"/>
    <w:rsid w:val="23D20365"/>
    <w:rsid w:val="23E822B1"/>
    <w:rsid w:val="23EB6D8E"/>
    <w:rsid w:val="23F21382"/>
    <w:rsid w:val="24044C11"/>
    <w:rsid w:val="241C63FF"/>
    <w:rsid w:val="24271A83"/>
    <w:rsid w:val="24517416"/>
    <w:rsid w:val="245711E5"/>
    <w:rsid w:val="245F611A"/>
    <w:rsid w:val="246413D6"/>
    <w:rsid w:val="24681F86"/>
    <w:rsid w:val="247E617E"/>
    <w:rsid w:val="248F3D6A"/>
    <w:rsid w:val="24C71FE5"/>
    <w:rsid w:val="24E34FD5"/>
    <w:rsid w:val="24EA2464"/>
    <w:rsid w:val="250D59BB"/>
    <w:rsid w:val="25331C52"/>
    <w:rsid w:val="255C45DD"/>
    <w:rsid w:val="25695674"/>
    <w:rsid w:val="25770D95"/>
    <w:rsid w:val="257D00DA"/>
    <w:rsid w:val="2580476C"/>
    <w:rsid w:val="258277C2"/>
    <w:rsid w:val="25B82157"/>
    <w:rsid w:val="25E60E47"/>
    <w:rsid w:val="25EA424B"/>
    <w:rsid w:val="25F50CB6"/>
    <w:rsid w:val="260D24A3"/>
    <w:rsid w:val="265F25D3"/>
    <w:rsid w:val="26B20EC6"/>
    <w:rsid w:val="26BC17D3"/>
    <w:rsid w:val="27075337"/>
    <w:rsid w:val="27122C1B"/>
    <w:rsid w:val="271D04C4"/>
    <w:rsid w:val="27302737"/>
    <w:rsid w:val="27612A66"/>
    <w:rsid w:val="27624129"/>
    <w:rsid w:val="27663DE1"/>
    <w:rsid w:val="276E6F72"/>
    <w:rsid w:val="27851DB4"/>
    <w:rsid w:val="27D765EE"/>
    <w:rsid w:val="27F40B59"/>
    <w:rsid w:val="2800346A"/>
    <w:rsid w:val="281F281F"/>
    <w:rsid w:val="28224B83"/>
    <w:rsid w:val="283C7070"/>
    <w:rsid w:val="28607A60"/>
    <w:rsid w:val="28667C49"/>
    <w:rsid w:val="286872E1"/>
    <w:rsid w:val="28991DCC"/>
    <w:rsid w:val="28BA252D"/>
    <w:rsid w:val="28D15A0A"/>
    <w:rsid w:val="28E374EB"/>
    <w:rsid w:val="28FE4325"/>
    <w:rsid w:val="29283150"/>
    <w:rsid w:val="294C757A"/>
    <w:rsid w:val="296028EA"/>
    <w:rsid w:val="298A5BB9"/>
    <w:rsid w:val="29AD63FD"/>
    <w:rsid w:val="29B53305"/>
    <w:rsid w:val="29BB753F"/>
    <w:rsid w:val="2A0539F9"/>
    <w:rsid w:val="2A0911D4"/>
    <w:rsid w:val="2A1738F0"/>
    <w:rsid w:val="2A1A6F3D"/>
    <w:rsid w:val="2A2B114A"/>
    <w:rsid w:val="2A3529F7"/>
    <w:rsid w:val="2A626B71"/>
    <w:rsid w:val="2A69012A"/>
    <w:rsid w:val="2AC51F3F"/>
    <w:rsid w:val="2AC82E3D"/>
    <w:rsid w:val="2ADA1568"/>
    <w:rsid w:val="2ADD3DEE"/>
    <w:rsid w:val="2AE15CAC"/>
    <w:rsid w:val="2AFB6D6E"/>
    <w:rsid w:val="2B057D63"/>
    <w:rsid w:val="2B0E138B"/>
    <w:rsid w:val="2B195446"/>
    <w:rsid w:val="2B1D34FD"/>
    <w:rsid w:val="2B39152A"/>
    <w:rsid w:val="2B481888"/>
    <w:rsid w:val="2B6C0686"/>
    <w:rsid w:val="2B795DEE"/>
    <w:rsid w:val="2B8A25D7"/>
    <w:rsid w:val="2BA47406"/>
    <w:rsid w:val="2BB5313E"/>
    <w:rsid w:val="2BCA04EF"/>
    <w:rsid w:val="2BE21CDC"/>
    <w:rsid w:val="2BF817B2"/>
    <w:rsid w:val="2C0C6D59"/>
    <w:rsid w:val="2C271DE5"/>
    <w:rsid w:val="2C471EA2"/>
    <w:rsid w:val="2C7A0167"/>
    <w:rsid w:val="2C840FE5"/>
    <w:rsid w:val="2C932FD6"/>
    <w:rsid w:val="2CBC252D"/>
    <w:rsid w:val="2CD535EF"/>
    <w:rsid w:val="2CDA6E57"/>
    <w:rsid w:val="2CE132A0"/>
    <w:rsid w:val="2CED6B8B"/>
    <w:rsid w:val="2CF03F85"/>
    <w:rsid w:val="2CF955D6"/>
    <w:rsid w:val="2D00218E"/>
    <w:rsid w:val="2D0E7D49"/>
    <w:rsid w:val="2D346567"/>
    <w:rsid w:val="2D4471BB"/>
    <w:rsid w:val="2D4A3D56"/>
    <w:rsid w:val="2D4F065D"/>
    <w:rsid w:val="2D684465"/>
    <w:rsid w:val="2D7409BD"/>
    <w:rsid w:val="2D76092E"/>
    <w:rsid w:val="2D7E5A35"/>
    <w:rsid w:val="2D8B5740"/>
    <w:rsid w:val="2D8E211C"/>
    <w:rsid w:val="2D962D7E"/>
    <w:rsid w:val="2DDA3165"/>
    <w:rsid w:val="2E2B67F4"/>
    <w:rsid w:val="2E30703B"/>
    <w:rsid w:val="2E4E5407"/>
    <w:rsid w:val="2E5B74F6"/>
    <w:rsid w:val="2E9D72A1"/>
    <w:rsid w:val="2EB20AE4"/>
    <w:rsid w:val="2EC60A4A"/>
    <w:rsid w:val="2EC83DAD"/>
    <w:rsid w:val="2F487E5C"/>
    <w:rsid w:val="2F601896"/>
    <w:rsid w:val="2F740E9D"/>
    <w:rsid w:val="2F780088"/>
    <w:rsid w:val="2F854125"/>
    <w:rsid w:val="2F874559"/>
    <w:rsid w:val="2FA31782"/>
    <w:rsid w:val="2FB27C17"/>
    <w:rsid w:val="2FCE2CA3"/>
    <w:rsid w:val="2FD53E0F"/>
    <w:rsid w:val="2FDB53C0"/>
    <w:rsid w:val="2FDD4C94"/>
    <w:rsid w:val="3020423D"/>
    <w:rsid w:val="30495F76"/>
    <w:rsid w:val="305C2BB0"/>
    <w:rsid w:val="3065119A"/>
    <w:rsid w:val="307C04C0"/>
    <w:rsid w:val="30A06426"/>
    <w:rsid w:val="30C057BA"/>
    <w:rsid w:val="30D616E4"/>
    <w:rsid w:val="30E33E31"/>
    <w:rsid w:val="30F71D86"/>
    <w:rsid w:val="31235140"/>
    <w:rsid w:val="313B1717"/>
    <w:rsid w:val="315E2BC5"/>
    <w:rsid w:val="316D73C0"/>
    <w:rsid w:val="31702EF2"/>
    <w:rsid w:val="317071E6"/>
    <w:rsid w:val="317E4255"/>
    <w:rsid w:val="317F3B29"/>
    <w:rsid w:val="31972AA8"/>
    <w:rsid w:val="31AE3C91"/>
    <w:rsid w:val="31DB16A7"/>
    <w:rsid w:val="32452FA9"/>
    <w:rsid w:val="3254446B"/>
    <w:rsid w:val="3259088E"/>
    <w:rsid w:val="329652B3"/>
    <w:rsid w:val="329A395E"/>
    <w:rsid w:val="32A45F3D"/>
    <w:rsid w:val="32B113B0"/>
    <w:rsid w:val="32B31CDC"/>
    <w:rsid w:val="32C969F8"/>
    <w:rsid w:val="33020CC1"/>
    <w:rsid w:val="33233306"/>
    <w:rsid w:val="335975A0"/>
    <w:rsid w:val="33711FA1"/>
    <w:rsid w:val="33784CD4"/>
    <w:rsid w:val="337C47C4"/>
    <w:rsid w:val="339A10EE"/>
    <w:rsid w:val="339E7B3C"/>
    <w:rsid w:val="33AB06FF"/>
    <w:rsid w:val="33AD5F50"/>
    <w:rsid w:val="342A34C2"/>
    <w:rsid w:val="34586FDF"/>
    <w:rsid w:val="347B4711"/>
    <w:rsid w:val="3482405C"/>
    <w:rsid w:val="348267AB"/>
    <w:rsid w:val="34DF14AF"/>
    <w:rsid w:val="34FD1935"/>
    <w:rsid w:val="351C69FF"/>
    <w:rsid w:val="3553087F"/>
    <w:rsid w:val="35717C54"/>
    <w:rsid w:val="35777939"/>
    <w:rsid w:val="357E2AE3"/>
    <w:rsid w:val="359A47E3"/>
    <w:rsid w:val="35AF1C4F"/>
    <w:rsid w:val="35B30926"/>
    <w:rsid w:val="35DA6F8D"/>
    <w:rsid w:val="35DC779C"/>
    <w:rsid w:val="35DF434D"/>
    <w:rsid w:val="35F5085E"/>
    <w:rsid w:val="35FE3BB6"/>
    <w:rsid w:val="361909F0"/>
    <w:rsid w:val="361978A4"/>
    <w:rsid w:val="3627310D"/>
    <w:rsid w:val="36462E68"/>
    <w:rsid w:val="364C2F9C"/>
    <w:rsid w:val="365307CA"/>
    <w:rsid w:val="3659703F"/>
    <w:rsid w:val="368A1F78"/>
    <w:rsid w:val="36963DEF"/>
    <w:rsid w:val="36A91D74"/>
    <w:rsid w:val="36BB098A"/>
    <w:rsid w:val="36E74BCF"/>
    <w:rsid w:val="36F56D67"/>
    <w:rsid w:val="3709636F"/>
    <w:rsid w:val="37167153"/>
    <w:rsid w:val="372F7B9E"/>
    <w:rsid w:val="37487677"/>
    <w:rsid w:val="376E1D1A"/>
    <w:rsid w:val="376E20F1"/>
    <w:rsid w:val="379F4582"/>
    <w:rsid w:val="37A95131"/>
    <w:rsid w:val="37DC6912"/>
    <w:rsid w:val="37F21986"/>
    <w:rsid w:val="37FE7E9E"/>
    <w:rsid w:val="38003C16"/>
    <w:rsid w:val="381A0BE8"/>
    <w:rsid w:val="384B4725"/>
    <w:rsid w:val="38566C42"/>
    <w:rsid w:val="386374A9"/>
    <w:rsid w:val="3875343D"/>
    <w:rsid w:val="3882287D"/>
    <w:rsid w:val="38B8203E"/>
    <w:rsid w:val="38C31435"/>
    <w:rsid w:val="38C842C0"/>
    <w:rsid w:val="38C85C77"/>
    <w:rsid w:val="38CA1127"/>
    <w:rsid w:val="38E273AD"/>
    <w:rsid w:val="38E80323"/>
    <w:rsid w:val="3901698C"/>
    <w:rsid w:val="390A097A"/>
    <w:rsid w:val="393D67A4"/>
    <w:rsid w:val="395104A1"/>
    <w:rsid w:val="3967764F"/>
    <w:rsid w:val="39810D86"/>
    <w:rsid w:val="3986639D"/>
    <w:rsid w:val="398D4BEA"/>
    <w:rsid w:val="39AE31FE"/>
    <w:rsid w:val="39F23A32"/>
    <w:rsid w:val="3A007735"/>
    <w:rsid w:val="3A053765"/>
    <w:rsid w:val="3A0C601B"/>
    <w:rsid w:val="3A1428E9"/>
    <w:rsid w:val="3A1675B4"/>
    <w:rsid w:val="3A4F678F"/>
    <w:rsid w:val="3A5730C6"/>
    <w:rsid w:val="3A744447"/>
    <w:rsid w:val="3A8B1791"/>
    <w:rsid w:val="3A8C79E3"/>
    <w:rsid w:val="3AA50161"/>
    <w:rsid w:val="3AA967C0"/>
    <w:rsid w:val="3AAD6186"/>
    <w:rsid w:val="3AB92C9A"/>
    <w:rsid w:val="3AC86B62"/>
    <w:rsid w:val="3ACE7FFB"/>
    <w:rsid w:val="3ADE5C5A"/>
    <w:rsid w:val="3AE113B1"/>
    <w:rsid w:val="3AE1523B"/>
    <w:rsid w:val="3AF630AE"/>
    <w:rsid w:val="3AFA53D4"/>
    <w:rsid w:val="3B055D6E"/>
    <w:rsid w:val="3B0C4680"/>
    <w:rsid w:val="3B201438"/>
    <w:rsid w:val="3B247C1B"/>
    <w:rsid w:val="3B582D78"/>
    <w:rsid w:val="3B7B5437"/>
    <w:rsid w:val="3B8732EB"/>
    <w:rsid w:val="3BA070C9"/>
    <w:rsid w:val="3BB645EB"/>
    <w:rsid w:val="3BC66F24"/>
    <w:rsid w:val="3BD11425"/>
    <w:rsid w:val="3BD66A3C"/>
    <w:rsid w:val="3BFD7F8A"/>
    <w:rsid w:val="3C1C4D96"/>
    <w:rsid w:val="3C652026"/>
    <w:rsid w:val="3C77021F"/>
    <w:rsid w:val="3C8816F0"/>
    <w:rsid w:val="3C8C0310"/>
    <w:rsid w:val="3CDE59B5"/>
    <w:rsid w:val="3CE31410"/>
    <w:rsid w:val="3CE533DA"/>
    <w:rsid w:val="3D141F11"/>
    <w:rsid w:val="3D1B7D86"/>
    <w:rsid w:val="3D2A6DEF"/>
    <w:rsid w:val="3D40624D"/>
    <w:rsid w:val="3D440087"/>
    <w:rsid w:val="3D4E1562"/>
    <w:rsid w:val="3D4F4CF8"/>
    <w:rsid w:val="3D5051DA"/>
    <w:rsid w:val="3D94095C"/>
    <w:rsid w:val="3DA652FE"/>
    <w:rsid w:val="3DCE0312"/>
    <w:rsid w:val="3DF12C27"/>
    <w:rsid w:val="3DFB09DB"/>
    <w:rsid w:val="3E2607ED"/>
    <w:rsid w:val="3E4B54BF"/>
    <w:rsid w:val="3E6622F9"/>
    <w:rsid w:val="3E9A01F4"/>
    <w:rsid w:val="3E9E2257"/>
    <w:rsid w:val="3E9F2ABC"/>
    <w:rsid w:val="3EA0190A"/>
    <w:rsid w:val="3EB94B1E"/>
    <w:rsid w:val="3EF21DDE"/>
    <w:rsid w:val="3F0833B0"/>
    <w:rsid w:val="3F134F7F"/>
    <w:rsid w:val="3F590010"/>
    <w:rsid w:val="3F5D0C74"/>
    <w:rsid w:val="3FAE1904"/>
    <w:rsid w:val="3FB403B2"/>
    <w:rsid w:val="3FC90D91"/>
    <w:rsid w:val="403830AC"/>
    <w:rsid w:val="405014B2"/>
    <w:rsid w:val="40534AFF"/>
    <w:rsid w:val="40923879"/>
    <w:rsid w:val="40A6497D"/>
    <w:rsid w:val="40A84E4B"/>
    <w:rsid w:val="40BC4452"/>
    <w:rsid w:val="40F40090"/>
    <w:rsid w:val="412907A1"/>
    <w:rsid w:val="414D7135"/>
    <w:rsid w:val="41834F07"/>
    <w:rsid w:val="418666BD"/>
    <w:rsid w:val="4187200D"/>
    <w:rsid w:val="41962EF5"/>
    <w:rsid w:val="41B33AA7"/>
    <w:rsid w:val="41BF7088"/>
    <w:rsid w:val="423544BC"/>
    <w:rsid w:val="423B1442"/>
    <w:rsid w:val="42425BDF"/>
    <w:rsid w:val="42576B28"/>
    <w:rsid w:val="42586B91"/>
    <w:rsid w:val="42892057"/>
    <w:rsid w:val="429F1E72"/>
    <w:rsid w:val="429F4065"/>
    <w:rsid w:val="42AB6E74"/>
    <w:rsid w:val="42B03C23"/>
    <w:rsid w:val="42D640CA"/>
    <w:rsid w:val="42DC1075"/>
    <w:rsid w:val="42DE7A7B"/>
    <w:rsid w:val="43574906"/>
    <w:rsid w:val="438A290A"/>
    <w:rsid w:val="43C67F35"/>
    <w:rsid w:val="43E43739"/>
    <w:rsid w:val="443B0600"/>
    <w:rsid w:val="4441183E"/>
    <w:rsid w:val="444A4FF2"/>
    <w:rsid w:val="445B2EBA"/>
    <w:rsid w:val="4460035F"/>
    <w:rsid w:val="446C618F"/>
    <w:rsid w:val="446E57D9"/>
    <w:rsid w:val="448266BF"/>
    <w:rsid w:val="44C45824"/>
    <w:rsid w:val="44CC3BE5"/>
    <w:rsid w:val="44DA57EF"/>
    <w:rsid w:val="44DA759D"/>
    <w:rsid w:val="44DD0E3B"/>
    <w:rsid w:val="44DE7232"/>
    <w:rsid w:val="44DF4BB3"/>
    <w:rsid w:val="44EC572F"/>
    <w:rsid w:val="45074C85"/>
    <w:rsid w:val="45102FBE"/>
    <w:rsid w:val="45D4223E"/>
    <w:rsid w:val="46173C9D"/>
    <w:rsid w:val="4632038F"/>
    <w:rsid w:val="46386C71"/>
    <w:rsid w:val="46880436"/>
    <w:rsid w:val="468A301B"/>
    <w:rsid w:val="46935C55"/>
    <w:rsid w:val="46A11BA1"/>
    <w:rsid w:val="46D1677D"/>
    <w:rsid w:val="46F44373"/>
    <w:rsid w:val="47025B21"/>
    <w:rsid w:val="470C4453"/>
    <w:rsid w:val="471036C6"/>
    <w:rsid w:val="47305B9A"/>
    <w:rsid w:val="47411B55"/>
    <w:rsid w:val="4746114F"/>
    <w:rsid w:val="47846991"/>
    <w:rsid w:val="47887784"/>
    <w:rsid w:val="47AA6ADF"/>
    <w:rsid w:val="47D12ED9"/>
    <w:rsid w:val="47EC047B"/>
    <w:rsid w:val="47EC1AC1"/>
    <w:rsid w:val="47F06548"/>
    <w:rsid w:val="47F172BA"/>
    <w:rsid w:val="47F53C79"/>
    <w:rsid w:val="482974A7"/>
    <w:rsid w:val="48474F49"/>
    <w:rsid w:val="48627FD5"/>
    <w:rsid w:val="4864321A"/>
    <w:rsid w:val="48677399"/>
    <w:rsid w:val="48D52AE9"/>
    <w:rsid w:val="48FD1AAC"/>
    <w:rsid w:val="48FF2105"/>
    <w:rsid w:val="4910358D"/>
    <w:rsid w:val="491155A3"/>
    <w:rsid w:val="49614F7A"/>
    <w:rsid w:val="49627B61"/>
    <w:rsid w:val="499E3603"/>
    <w:rsid w:val="49CD04E5"/>
    <w:rsid w:val="49CF169A"/>
    <w:rsid w:val="49FB119D"/>
    <w:rsid w:val="4A070E34"/>
    <w:rsid w:val="4A190B67"/>
    <w:rsid w:val="4A1A5506"/>
    <w:rsid w:val="4A361719"/>
    <w:rsid w:val="4A5D4A86"/>
    <w:rsid w:val="4A657908"/>
    <w:rsid w:val="4A6B76D7"/>
    <w:rsid w:val="4A7933B4"/>
    <w:rsid w:val="4A8823AE"/>
    <w:rsid w:val="4AAF7FE0"/>
    <w:rsid w:val="4AC85640"/>
    <w:rsid w:val="4AE271AB"/>
    <w:rsid w:val="4AE66459"/>
    <w:rsid w:val="4B304EE1"/>
    <w:rsid w:val="4B3F63AB"/>
    <w:rsid w:val="4B4E65EF"/>
    <w:rsid w:val="4B565BBA"/>
    <w:rsid w:val="4B7F49FA"/>
    <w:rsid w:val="4BA651E2"/>
    <w:rsid w:val="4BB5041C"/>
    <w:rsid w:val="4BB77AB2"/>
    <w:rsid w:val="4BD13CFE"/>
    <w:rsid w:val="4BE45480"/>
    <w:rsid w:val="4C0A0F91"/>
    <w:rsid w:val="4C2A2BB8"/>
    <w:rsid w:val="4C6111C2"/>
    <w:rsid w:val="4C872721"/>
    <w:rsid w:val="4D021D86"/>
    <w:rsid w:val="4D09629A"/>
    <w:rsid w:val="4D1F46E6"/>
    <w:rsid w:val="4D3844D8"/>
    <w:rsid w:val="4D5C1497"/>
    <w:rsid w:val="4D6F380D"/>
    <w:rsid w:val="4D780890"/>
    <w:rsid w:val="4D8825B5"/>
    <w:rsid w:val="4D8E6CAE"/>
    <w:rsid w:val="4D9D385D"/>
    <w:rsid w:val="4DA92202"/>
    <w:rsid w:val="4DD13DE5"/>
    <w:rsid w:val="4E0538DC"/>
    <w:rsid w:val="4E264AF3"/>
    <w:rsid w:val="4E612A80"/>
    <w:rsid w:val="4E742810"/>
    <w:rsid w:val="4EAA342D"/>
    <w:rsid w:val="4EB8094F"/>
    <w:rsid w:val="4EBB6BE8"/>
    <w:rsid w:val="4EC63DDE"/>
    <w:rsid w:val="4ECA2430"/>
    <w:rsid w:val="4EDA5644"/>
    <w:rsid w:val="4EF57642"/>
    <w:rsid w:val="4F032326"/>
    <w:rsid w:val="4F0C0C9A"/>
    <w:rsid w:val="4F0C47F7"/>
    <w:rsid w:val="4F1C5C3C"/>
    <w:rsid w:val="4F202DB6"/>
    <w:rsid w:val="4F35414D"/>
    <w:rsid w:val="4F367AC5"/>
    <w:rsid w:val="4F455F5A"/>
    <w:rsid w:val="4F4E7A72"/>
    <w:rsid w:val="4F524F63"/>
    <w:rsid w:val="4F813436"/>
    <w:rsid w:val="4FC5543D"/>
    <w:rsid w:val="4FC70010"/>
    <w:rsid w:val="4FFB1ABC"/>
    <w:rsid w:val="4FFD5B7C"/>
    <w:rsid w:val="501567CB"/>
    <w:rsid w:val="50505565"/>
    <w:rsid w:val="50525C99"/>
    <w:rsid w:val="506D7517"/>
    <w:rsid w:val="50777623"/>
    <w:rsid w:val="50A867A1"/>
    <w:rsid w:val="50AF18DD"/>
    <w:rsid w:val="50B05655"/>
    <w:rsid w:val="50C25AB5"/>
    <w:rsid w:val="50C91A43"/>
    <w:rsid w:val="50CF4266"/>
    <w:rsid w:val="50F87FAC"/>
    <w:rsid w:val="51330760"/>
    <w:rsid w:val="5145631B"/>
    <w:rsid w:val="51620050"/>
    <w:rsid w:val="51713037"/>
    <w:rsid w:val="517261E5"/>
    <w:rsid w:val="519A07DF"/>
    <w:rsid w:val="51BC69A8"/>
    <w:rsid w:val="529F1132"/>
    <w:rsid w:val="52A462E6"/>
    <w:rsid w:val="52F263F9"/>
    <w:rsid w:val="5319725C"/>
    <w:rsid w:val="533E4E87"/>
    <w:rsid w:val="534D324C"/>
    <w:rsid w:val="5365648C"/>
    <w:rsid w:val="5376752B"/>
    <w:rsid w:val="53A10DA8"/>
    <w:rsid w:val="53A41AA1"/>
    <w:rsid w:val="53FA37B7"/>
    <w:rsid w:val="54096145"/>
    <w:rsid w:val="540C46F6"/>
    <w:rsid w:val="5441308C"/>
    <w:rsid w:val="54436F0C"/>
    <w:rsid w:val="54443771"/>
    <w:rsid w:val="544C2923"/>
    <w:rsid w:val="54624338"/>
    <w:rsid w:val="54662BFB"/>
    <w:rsid w:val="5486329D"/>
    <w:rsid w:val="548D7221"/>
    <w:rsid w:val="54950492"/>
    <w:rsid w:val="549D31C7"/>
    <w:rsid w:val="54A53F79"/>
    <w:rsid w:val="54B23956"/>
    <w:rsid w:val="54D45DB6"/>
    <w:rsid w:val="54DB5397"/>
    <w:rsid w:val="54EA382C"/>
    <w:rsid w:val="54EF2310"/>
    <w:rsid w:val="55665DBF"/>
    <w:rsid w:val="556E384F"/>
    <w:rsid w:val="55911B19"/>
    <w:rsid w:val="55CF39F8"/>
    <w:rsid w:val="55F304BE"/>
    <w:rsid w:val="566273F2"/>
    <w:rsid w:val="568A7075"/>
    <w:rsid w:val="5693771B"/>
    <w:rsid w:val="569674D6"/>
    <w:rsid w:val="56B51C18"/>
    <w:rsid w:val="56F27583"/>
    <w:rsid w:val="56FC55C5"/>
    <w:rsid w:val="57567F84"/>
    <w:rsid w:val="576F0018"/>
    <w:rsid w:val="57743881"/>
    <w:rsid w:val="57826565"/>
    <w:rsid w:val="578E0089"/>
    <w:rsid w:val="57A44166"/>
    <w:rsid w:val="57AF59AB"/>
    <w:rsid w:val="57EF409D"/>
    <w:rsid w:val="57F364F1"/>
    <w:rsid w:val="57FC2EEA"/>
    <w:rsid w:val="581643B2"/>
    <w:rsid w:val="583077A8"/>
    <w:rsid w:val="58482C7F"/>
    <w:rsid w:val="584B2834"/>
    <w:rsid w:val="58564D34"/>
    <w:rsid w:val="58666731"/>
    <w:rsid w:val="586E26D1"/>
    <w:rsid w:val="58711BA1"/>
    <w:rsid w:val="589917F1"/>
    <w:rsid w:val="58CC2B26"/>
    <w:rsid w:val="58E639D3"/>
    <w:rsid w:val="590824D3"/>
    <w:rsid w:val="59106AC1"/>
    <w:rsid w:val="59220479"/>
    <w:rsid w:val="592D1F39"/>
    <w:rsid w:val="593B4656"/>
    <w:rsid w:val="5960230F"/>
    <w:rsid w:val="598C3104"/>
    <w:rsid w:val="59A72F18"/>
    <w:rsid w:val="59CD7278"/>
    <w:rsid w:val="5A1174AA"/>
    <w:rsid w:val="5A1B73FE"/>
    <w:rsid w:val="5A2F42B8"/>
    <w:rsid w:val="5A5B65D1"/>
    <w:rsid w:val="5A7466C9"/>
    <w:rsid w:val="5A8B6F17"/>
    <w:rsid w:val="5A8D6C47"/>
    <w:rsid w:val="5A902780"/>
    <w:rsid w:val="5A923AFE"/>
    <w:rsid w:val="5AB02E22"/>
    <w:rsid w:val="5AB36A7C"/>
    <w:rsid w:val="5AC24903"/>
    <w:rsid w:val="5ACD39D4"/>
    <w:rsid w:val="5AE777FB"/>
    <w:rsid w:val="5B0E18F6"/>
    <w:rsid w:val="5B1A02B0"/>
    <w:rsid w:val="5B1F1D55"/>
    <w:rsid w:val="5B346059"/>
    <w:rsid w:val="5BA74225"/>
    <w:rsid w:val="5BB866D0"/>
    <w:rsid w:val="5BBE331C"/>
    <w:rsid w:val="5BC22E0D"/>
    <w:rsid w:val="5C047C2A"/>
    <w:rsid w:val="5C0A0310"/>
    <w:rsid w:val="5C593AA7"/>
    <w:rsid w:val="5C6C2D78"/>
    <w:rsid w:val="5C835DA4"/>
    <w:rsid w:val="5CB70498"/>
    <w:rsid w:val="5CDC71B3"/>
    <w:rsid w:val="5CE84AF5"/>
    <w:rsid w:val="5CED0261"/>
    <w:rsid w:val="5CF243B1"/>
    <w:rsid w:val="5CF3349A"/>
    <w:rsid w:val="5D11145B"/>
    <w:rsid w:val="5D2A5799"/>
    <w:rsid w:val="5D4E67D6"/>
    <w:rsid w:val="5D6E241A"/>
    <w:rsid w:val="5DAE0039"/>
    <w:rsid w:val="5DB201D1"/>
    <w:rsid w:val="5DE30E18"/>
    <w:rsid w:val="5DF66D9E"/>
    <w:rsid w:val="5E023994"/>
    <w:rsid w:val="5E0314BA"/>
    <w:rsid w:val="5E0A0A9B"/>
    <w:rsid w:val="5E1831B8"/>
    <w:rsid w:val="5E214BE6"/>
    <w:rsid w:val="5E224037"/>
    <w:rsid w:val="5E3C3102"/>
    <w:rsid w:val="5E3D1D25"/>
    <w:rsid w:val="5E56783C"/>
    <w:rsid w:val="5E5B222C"/>
    <w:rsid w:val="5E9E2730"/>
    <w:rsid w:val="5EA75D44"/>
    <w:rsid w:val="5EC073AC"/>
    <w:rsid w:val="5EC21376"/>
    <w:rsid w:val="5EC529C2"/>
    <w:rsid w:val="5EF157B7"/>
    <w:rsid w:val="5EF5561C"/>
    <w:rsid w:val="5F072DA0"/>
    <w:rsid w:val="5F1F0DB8"/>
    <w:rsid w:val="5F3A0F0C"/>
    <w:rsid w:val="5F46756E"/>
    <w:rsid w:val="5F6D58CC"/>
    <w:rsid w:val="5F710DD4"/>
    <w:rsid w:val="5F724C78"/>
    <w:rsid w:val="5F8265AE"/>
    <w:rsid w:val="5FB76A00"/>
    <w:rsid w:val="5FD01870"/>
    <w:rsid w:val="5FD14D72"/>
    <w:rsid w:val="5FEA625B"/>
    <w:rsid w:val="600339F4"/>
    <w:rsid w:val="602037FC"/>
    <w:rsid w:val="60793CB6"/>
    <w:rsid w:val="608D07BC"/>
    <w:rsid w:val="608E15EB"/>
    <w:rsid w:val="60C159DF"/>
    <w:rsid w:val="60D20857"/>
    <w:rsid w:val="610C68D8"/>
    <w:rsid w:val="612105D5"/>
    <w:rsid w:val="612812EF"/>
    <w:rsid w:val="615B0E51"/>
    <w:rsid w:val="615B25B3"/>
    <w:rsid w:val="617E77D6"/>
    <w:rsid w:val="6193545C"/>
    <w:rsid w:val="6196638C"/>
    <w:rsid w:val="619E19B9"/>
    <w:rsid w:val="61DA69D6"/>
    <w:rsid w:val="61F35A5A"/>
    <w:rsid w:val="621912AD"/>
    <w:rsid w:val="62416B14"/>
    <w:rsid w:val="62487DE4"/>
    <w:rsid w:val="62500A46"/>
    <w:rsid w:val="625422E5"/>
    <w:rsid w:val="62781EE6"/>
    <w:rsid w:val="628B15D4"/>
    <w:rsid w:val="62A468BF"/>
    <w:rsid w:val="62BF2ADF"/>
    <w:rsid w:val="62C05BCC"/>
    <w:rsid w:val="62CF7BBD"/>
    <w:rsid w:val="62F73EA8"/>
    <w:rsid w:val="63021D41"/>
    <w:rsid w:val="630F445E"/>
    <w:rsid w:val="63253835"/>
    <w:rsid w:val="63275E2D"/>
    <w:rsid w:val="632E6FDA"/>
    <w:rsid w:val="63332842"/>
    <w:rsid w:val="634B2759"/>
    <w:rsid w:val="636C5ADF"/>
    <w:rsid w:val="63730E90"/>
    <w:rsid w:val="63820F1F"/>
    <w:rsid w:val="638559B0"/>
    <w:rsid w:val="639F1C85"/>
    <w:rsid w:val="63AB062A"/>
    <w:rsid w:val="63AB2A50"/>
    <w:rsid w:val="63C17E4E"/>
    <w:rsid w:val="63ED479F"/>
    <w:rsid w:val="64033FC2"/>
    <w:rsid w:val="64267CB1"/>
    <w:rsid w:val="643D19DF"/>
    <w:rsid w:val="64430863"/>
    <w:rsid w:val="646F78AA"/>
    <w:rsid w:val="647730C7"/>
    <w:rsid w:val="647B1EF1"/>
    <w:rsid w:val="64AF6674"/>
    <w:rsid w:val="64C5571C"/>
    <w:rsid w:val="64D15ECB"/>
    <w:rsid w:val="64E57454"/>
    <w:rsid w:val="64E9765C"/>
    <w:rsid w:val="64EB28E0"/>
    <w:rsid w:val="65021814"/>
    <w:rsid w:val="651D7306"/>
    <w:rsid w:val="6532281F"/>
    <w:rsid w:val="65476131"/>
    <w:rsid w:val="65640A91"/>
    <w:rsid w:val="65654809"/>
    <w:rsid w:val="65874A1F"/>
    <w:rsid w:val="658B30BC"/>
    <w:rsid w:val="659E4BCF"/>
    <w:rsid w:val="65AB2B63"/>
    <w:rsid w:val="65E20D30"/>
    <w:rsid w:val="65E816C2"/>
    <w:rsid w:val="66372649"/>
    <w:rsid w:val="66380331"/>
    <w:rsid w:val="66456B14"/>
    <w:rsid w:val="66593A3B"/>
    <w:rsid w:val="66600A94"/>
    <w:rsid w:val="66696111"/>
    <w:rsid w:val="66785CF4"/>
    <w:rsid w:val="6695111E"/>
    <w:rsid w:val="66C832A1"/>
    <w:rsid w:val="66D103A8"/>
    <w:rsid w:val="66D87988"/>
    <w:rsid w:val="66E75E1D"/>
    <w:rsid w:val="66F44096"/>
    <w:rsid w:val="66FC572C"/>
    <w:rsid w:val="670B58D2"/>
    <w:rsid w:val="67127E33"/>
    <w:rsid w:val="671958AB"/>
    <w:rsid w:val="671F30C5"/>
    <w:rsid w:val="672E75A8"/>
    <w:rsid w:val="672F693E"/>
    <w:rsid w:val="674C7A59"/>
    <w:rsid w:val="67733BC2"/>
    <w:rsid w:val="6796438E"/>
    <w:rsid w:val="67B17E28"/>
    <w:rsid w:val="67BC1058"/>
    <w:rsid w:val="67E22141"/>
    <w:rsid w:val="680A1B61"/>
    <w:rsid w:val="680B78E9"/>
    <w:rsid w:val="68120F42"/>
    <w:rsid w:val="68173597"/>
    <w:rsid w:val="68225C65"/>
    <w:rsid w:val="68794027"/>
    <w:rsid w:val="689A0C6D"/>
    <w:rsid w:val="68F91837"/>
    <w:rsid w:val="690D16FE"/>
    <w:rsid w:val="691323C1"/>
    <w:rsid w:val="692A1FF1"/>
    <w:rsid w:val="69474E2D"/>
    <w:rsid w:val="69713E8B"/>
    <w:rsid w:val="69763488"/>
    <w:rsid w:val="69833C19"/>
    <w:rsid w:val="69973B19"/>
    <w:rsid w:val="69D62568"/>
    <w:rsid w:val="69DB0C82"/>
    <w:rsid w:val="69FA5E67"/>
    <w:rsid w:val="6A277B0F"/>
    <w:rsid w:val="6A3A11B2"/>
    <w:rsid w:val="6A3A2708"/>
    <w:rsid w:val="6A430C3A"/>
    <w:rsid w:val="6A4C4D11"/>
    <w:rsid w:val="6A5E25E7"/>
    <w:rsid w:val="6A735AF7"/>
    <w:rsid w:val="6A955B90"/>
    <w:rsid w:val="6A9F4B4A"/>
    <w:rsid w:val="6AB029CA"/>
    <w:rsid w:val="6ABE26C0"/>
    <w:rsid w:val="6ACE4BFE"/>
    <w:rsid w:val="6AD16FE6"/>
    <w:rsid w:val="6ADE0AE4"/>
    <w:rsid w:val="6AF8480C"/>
    <w:rsid w:val="6B020340"/>
    <w:rsid w:val="6B052ADB"/>
    <w:rsid w:val="6B4C3434"/>
    <w:rsid w:val="6B5E2426"/>
    <w:rsid w:val="6B7062AF"/>
    <w:rsid w:val="6B9B0F84"/>
    <w:rsid w:val="6C387681"/>
    <w:rsid w:val="6C4909E0"/>
    <w:rsid w:val="6C902796"/>
    <w:rsid w:val="6C98369C"/>
    <w:rsid w:val="6CE03B4D"/>
    <w:rsid w:val="6D0068CA"/>
    <w:rsid w:val="6D28663E"/>
    <w:rsid w:val="6D503C83"/>
    <w:rsid w:val="6D673814"/>
    <w:rsid w:val="6D7970A3"/>
    <w:rsid w:val="6D82064E"/>
    <w:rsid w:val="6DAE0689"/>
    <w:rsid w:val="6DBE53FE"/>
    <w:rsid w:val="6DD54C21"/>
    <w:rsid w:val="6DEA1D4F"/>
    <w:rsid w:val="6E1776AD"/>
    <w:rsid w:val="6E274D51"/>
    <w:rsid w:val="6E2B032D"/>
    <w:rsid w:val="6E2B2D60"/>
    <w:rsid w:val="6E2E4332"/>
    <w:rsid w:val="6E9B230D"/>
    <w:rsid w:val="6EB83BFB"/>
    <w:rsid w:val="6EC94BCE"/>
    <w:rsid w:val="6F135EBD"/>
    <w:rsid w:val="6F137D1B"/>
    <w:rsid w:val="6F1426B4"/>
    <w:rsid w:val="6F330CBA"/>
    <w:rsid w:val="6F4E30CF"/>
    <w:rsid w:val="6F54036D"/>
    <w:rsid w:val="6F5B1156"/>
    <w:rsid w:val="6F5E74DC"/>
    <w:rsid w:val="6F6535B7"/>
    <w:rsid w:val="6F7A24E8"/>
    <w:rsid w:val="6F7D30CD"/>
    <w:rsid w:val="6F801900"/>
    <w:rsid w:val="6F901EF7"/>
    <w:rsid w:val="6FCD5AE9"/>
    <w:rsid w:val="6FF173C5"/>
    <w:rsid w:val="70294BFB"/>
    <w:rsid w:val="703A6FBE"/>
    <w:rsid w:val="70413B83"/>
    <w:rsid w:val="704D7FE5"/>
    <w:rsid w:val="70500B41"/>
    <w:rsid w:val="706C7561"/>
    <w:rsid w:val="707E1A17"/>
    <w:rsid w:val="70950698"/>
    <w:rsid w:val="70982DD8"/>
    <w:rsid w:val="70A703CB"/>
    <w:rsid w:val="70CE0915"/>
    <w:rsid w:val="70CE4E64"/>
    <w:rsid w:val="70F8159E"/>
    <w:rsid w:val="70F96E79"/>
    <w:rsid w:val="71230669"/>
    <w:rsid w:val="71265D8C"/>
    <w:rsid w:val="71337206"/>
    <w:rsid w:val="71704AAF"/>
    <w:rsid w:val="718304F0"/>
    <w:rsid w:val="71874E66"/>
    <w:rsid w:val="718758A8"/>
    <w:rsid w:val="71AC5FAB"/>
    <w:rsid w:val="71BA7C8A"/>
    <w:rsid w:val="71C01B65"/>
    <w:rsid w:val="72007275"/>
    <w:rsid w:val="72273572"/>
    <w:rsid w:val="72293E38"/>
    <w:rsid w:val="725B76BF"/>
    <w:rsid w:val="72834E8D"/>
    <w:rsid w:val="729624A5"/>
    <w:rsid w:val="729A1F96"/>
    <w:rsid w:val="72B42D4C"/>
    <w:rsid w:val="72B875F5"/>
    <w:rsid w:val="72BB1D8B"/>
    <w:rsid w:val="730833A3"/>
    <w:rsid w:val="730D09BA"/>
    <w:rsid w:val="73173BCC"/>
    <w:rsid w:val="731D35F0"/>
    <w:rsid w:val="73267CCD"/>
    <w:rsid w:val="732E1154"/>
    <w:rsid w:val="73406EE2"/>
    <w:rsid w:val="734819F2"/>
    <w:rsid w:val="735D1C68"/>
    <w:rsid w:val="737D6F5B"/>
    <w:rsid w:val="73824F1C"/>
    <w:rsid w:val="73CB6083"/>
    <w:rsid w:val="73D2750D"/>
    <w:rsid w:val="73D66E19"/>
    <w:rsid w:val="73DE5C35"/>
    <w:rsid w:val="73E21E46"/>
    <w:rsid w:val="73F15E96"/>
    <w:rsid w:val="73FE1215"/>
    <w:rsid w:val="7408762F"/>
    <w:rsid w:val="741D504A"/>
    <w:rsid w:val="742C1313"/>
    <w:rsid w:val="743D707D"/>
    <w:rsid w:val="745148D6"/>
    <w:rsid w:val="746A1E3C"/>
    <w:rsid w:val="74956C92"/>
    <w:rsid w:val="74E8331A"/>
    <w:rsid w:val="750062DC"/>
    <w:rsid w:val="750F68C4"/>
    <w:rsid w:val="75104791"/>
    <w:rsid w:val="751A5610"/>
    <w:rsid w:val="75311F1E"/>
    <w:rsid w:val="753A180E"/>
    <w:rsid w:val="755500E9"/>
    <w:rsid w:val="75580244"/>
    <w:rsid w:val="75720FA8"/>
    <w:rsid w:val="757545F4"/>
    <w:rsid w:val="7581111D"/>
    <w:rsid w:val="75A1132B"/>
    <w:rsid w:val="75C81206"/>
    <w:rsid w:val="760806DF"/>
    <w:rsid w:val="760C30DD"/>
    <w:rsid w:val="760F2C9B"/>
    <w:rsid w:val="761B34D7"/>
    <w:rsid w:val="764702B3"/>
    <w:rsid w:val="764D6766"/>
    <w:rsid w:val="76774EFB"/>
    <w:rsid w:val="76790114"/>
    <w:rsid w:val="7696270D"/>
    <w:rsid w:val="76B80C3C"/>
    <w:rsid w:val="76E934EC"/>
    <w:rsid w:val="76FE1779"/>
    <w:rsid w:val="77137BF8"/>
    <w:rsid w:val="771E4103"/>
    <w:rsid w:val="77517430"/>
    <w:rsid w:val="77960C1D"/>
    <w:rsid w:val="779F568D"/>
    <w:rsid w:val="779F7F6F"/>
    <w:rsid w:val="77AB254F"/>
    <w:rsid w:val="77B54F21"/>
    <w:rsid w:val="77C35AEB"/>
    <w:rsid w:val="77E37F3B"/>
    <w:rsid w:val="784F3822"/>
    <w:rsid w:val="78557490"/>
    <w:rsid w:val="78682BC8"/>
    <w:rsid w:val="78A434C5"/>
    <w:rsid w:val="78B139DF"/>
    <w:rsid w:val="78E75809"/>
    <w:rsid w:val="7911139D"/>
    <w:rsid w:val="791E4FA3"/>
    <w:rsid w:val="792410CB"/>
    <w:rsid w:val="792D3303"/>
    <w:rsid w:val="793B7903"/>
    <w:rsid w:val="7942624F"/>
    <w:rsid w:val="79442028"/>
    <w:rsid w:val="798E037A"/>
    <w:rsid w:val="798F0C32"/>
    <w:rsid w:val="79AA220C"/>
    <w:rsid w:val="79B849EC"/>
    <w:rsid w:val="79DD6C0C"/>
    <w:rsid w:val="79E02567"/>
    <w:rsid w:val="79F673A7"/>
    <w:rsid w:val="7A0423EA"/>
    <w:rsid w:val="7A0706DB"/>
    <w:rsid w:val="7A1C7E11"/>
    <w:rsid w:val="7A3902E6"/>
    <w:rsid w:val="7A3E3B4E"/>
    <w:rsid w:val="7A4E3666"/>
    <w:rsid w:val="7A566C94"/>
    <w:rsid w:val="7A6115EB"/>
    <w:rsid w:val="7A804167"/>
    <w:rsid w:val="7A981BFC"/>
    <w:rsid w:val="7ACC330F"/>
    <w:rsid w:val="7AD16771"/>
    <w:rsid w:val="7AE528BD"/>
    <w:rsid w:val="7AF001E4"/>
    <w:rsid w:val="7B136D89"/>
    <w:rsid w:val="7B36365C"/>
    <w:rsid w:val="7B6012DC"/>
    <w:rsid w:val="7B6C452B"/>
    <w:rsid w:val="7B767318"/>
    <w:rsid w:val="7B9C4265"/>
    <w:rsid w:val="7BA031DA"/>
    <w:rsid w:val="7BB06386"/>
    <w:rsid w:val="7BB32D2F"/>
    <w:rsid w:val="7BBA79BE"/>
    <w:rsid w:val="7BBF0CBF"/>
    <w:rsid w:val="7BC93671"/>
    <w:rsid w:val="7BD81F5A"/>
    <w:rsid w:val="7BE431FF"/>
    <w:rsid w:val="7BFC4543"/>
    <w:rsid w:val="7C1A4147"/>
    <w:rsid w:val="7C2B0F68"/>
    <w:rsid w:val="7C2E0F19"/>
    <w:rsid w:val="7C372603"/>
    <w:rsid w:val="7C3969CE"/>
    <w:rsid w:val="7C43369E"/>
    <w:rsid w:val="7C4371FA"/>
    <w:rsid w:val="7C68679F"/>
    <w:rsid w:val="7C6A5395"/>
    <w:rsid w:val="7C7F0EF9"/>
    <w:rsid w:val="7C855A65"/>
    <w:rsid w:val="7C871B65"/>
    <w:rsid w:val="7C8D66C7"/>
    <w:rsid w:val="7C9E6B26"/>
    <w:rsid w:val="7D00333D"/>
    <w:rsid w:val="7D037A4E"/>
    <w:rsid w:val="7D133070"/>
    <w:rsid w:val="7D254B52"/>
    <w:rsid w:val="7D266FDB"/>
    <w:rsid w:val="7D2C63F7"/>
    <w:rsid w:val="7D4A32B9"/>
    <w:rsid w:val="7D63567A"/>
    <w:rsid w:val="7D645D5E"/>
    <w:rsid w:val="7D7635FF"/>
    <w:rsid w:val="7D8442E1"/>
    <w:rsid w:val="7DA57C98"/>
    <w:rsid w:val="7DAB00E8"/>
    <w:rsid w:val="7DDA320F"/>
    <w:rsid w:val="7DEE13E8"/>
    <w:rsid w:val="7DF147EF"/>
    <w:rsid w:val="7DFF1847"/>
    <w:rsid w:val="7E271CAB"/>
    <w:rsid w:val="7E4454AB"/>
    <w:rsid w:val="7E472F50"/>
    <w:rsid w:val="7E631DD5"/>
    <w:rsid w:val="7E7C4C45"/>
    <w:rsid w:val="7E801007"/>
    <w:rsid w:val="7E8167F0"/>
    <w:rsid w:val="7E84713A"/>
    <w:rsid w:val="7EB54A7A"/>
    <w:rsid w:val="7EB663A9"/>
    <w:rsid w:val="7EC30AC6"/>
    <w:rsid w:val="7ED7614E"/>
    <w:rsid w:val="7ED76320"/>
    <w:rsid w:val="7EE34CC4"/>
    <w:rsid w:val="7F0D7F93"/>
    <w:rsid w:val="7F1E3965"/>
    <w:rsid w:val="7F3F2762"/>
    <w:rsid w:val="7F45772D"/>
    <w:rsid w:val="7F5D0D9D"/>
    <w:rsid w:val="7F6E135D"/>
    <w:rsid w:val="7F722F37"/>
    <w:rsid w:val="7F7378B0"/>
    <w:rsid w:val="7FAD3976"/>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4">
    <w:name w:val="heading 1"/>
    <w:basedOn w:val="1"/>
    <w:next w:val="1"/>
    <w:link w:val="37"/>
    <w:autoRedefine/>
    <w:unhideWhenUsed/>
    <w:qFormat/>
    <w:uiPriority w:val="9"/>
    <w:pPr>
      <w:keepNext/>
      <w:keepLines/>
      <w:spacing w:after="573" w:line="265" w:lineRule="auto"/>
      <w:ind w:left="10" w:right="122" w:hanging="10"/>
      <w:jc w:val="center"/>
      <w:outlineLvl w:val="0"/>
    </w:pPr>
    <w:rPr>
      <w:rFonts w:ascii="黑体" w:hAnsi="黑体" w:eastAsia="黑体" w:cs="黑体"/>
      <w:sz w:val="32"/>
    </w:rPr>
  </w:style>
  <w:style w:type="paragraph" w:styleId="5">
    <w:name w:val="heading 2"/>
    <w:basedOn w:val="1"/>
    <w:next w:val="6"/>
    <w:link w:val="38"/>
    <w:autoRedefine/>
    <w:unhideWhenUsed/>
    <w:qFormat/>
    <w:uiPriority w:val="9"/>
    <w:pPr>
      <w:keepNext/>
      <w:keepLines/>
      <w:spacing w:after="172" w:line="265" w:lineRule="auto"/>
      <w:ind w:left="10" w:right="116" w:hanging="10"/>
      <w:outlineLvl w:val="1"/>
    </w:pPr>
    <w:rPr>
      <w:rFonts w:ascii="黑体" w:hAnsi="黑体" w:eastAsia="黑体" w:cs="黑体"/>
      <w:sz w:val="28"/>
    </w:rPr>
  </w:style>
  <w:style w:type="paragraph" w:styleId="7">
    <w:name w:val="heading 3"/>
    <w:basedOn w:val="1"/>
    <w:next w:val="1"/>
    <w:link w:val="39"/>
    <w:autoRedefine/>
    <w:unhideWhenUsed/>
    <w:qFormat/>
    <w:uiPriority w:val="9"/>
    <w:pPr>
      <w:keepNext/>
      <w:keepLines/>
      <w:spacing w:after="172" w:line="265" w:lineRule="auto"/>
      <w:ind w:left="10" w:right="116" w:hanging="10"/>
      <w:outlineLvl w:val="2"/>
    </w:pPr>
    <w:rPr>
      <w:rFonts w:ascii="黑体" w:hAnsi="黑体" w:eastAsia="黑体" w:cs="黑体"/>
      <w:sz w:val="28"/>
    </w:rPr>
  </w:style>
  <w:style w:type="paragraph" w:styleId="8">
    <w:name w:val="heading 4"/>
    <w:basedOn w:val="1"/>
    <w:next w:val="1"/>
    <w:link w:val="40"/>
    <w:autoRedefine/>
    <w:unhideWhenUsed/>
    <w:qFormat/>
    <w:uiPriority w:val="9"/>
    <w:pPr>
      <w:keepNext/>
      <w:keepLines/>
      <w:spacing w:after="172" w:line="265" w:lineRule="auto"/>
      <w:ind w:left="10" w:right="116" w:hanging="10"/>
      <w:outlineLvl w:val="3"/>
    </w:pPr>
    <w:rPr>
      <w:rFonts w:ascii="黑体" w:hAnsi="黑体" w:eastAsia="黑体" w:cs="黑体"/>
      <w:sz w:val="28"/>
    </w:rPr>
  </w:style>
  <w:style w:type="paragraph" w:styleId="9">
    <w:name w:val="heading 5"/>
    <w:next w:val="1"/>
    <w:link w:val="41"/>
    <w:autoRedefine/>
    <w:unhideWhenUsed/>
    <w:qFormat/>
    <w:uiPriority w:val="9"/>
    <w:pPr>
      <w:keepNext/>
      <w:keepLines/>
      <w:spacing w:after="172" w:line="265" w:lineRule="auto"/>
      <w:ind w:left="10" w:right="116" w:hanging="10"/>
      <w:outlineLvl w:val="4"/>
    </w:pPr>
    <w:rPr>
      <w:rFonts w:ascii="黑体" w:hAnsi="黑体" w:eastAsia="黑体" w:cs="黑体"/>
      <w:color w:val="000000"/>
      <w:kern w:val="2"/>
      <w:sz w:val="28"/>
      <w:szCs w:val="22"/>
      <w:lang w:val="en-US" w:eastAsia="zh-CN" w:bidi="ar-SA"/>
    </w:rPr>
  </w:style>
  <w:style w:type="paragraph" w:styleId="10">
    <w:name w:val="heading 6"/>
    <w:next w:val="1"/>
    <w:link w:val="42"/>
    <w:autoRedefine/>
    <w:unhideWhenUsed/>
    <w:qFormat/>
    <w:uiPriority w:val="9"/>
    <w:pPr>
      <w:keepNext/>
      <w:keepLines/>
      <w:spacing w:after="172" w:line="265" w:lineRule="auto"/>
      <w:ind w:left="10" w:right="116" w:hanging="10"/>
      <w:outlineLvl w:val="5"/>
    </w:pPr>
    <w:rPr>
      <w:rFonts w:ascii="黑体" w:hAnsi="黑体" w:eastAsia="黑体" w:cs="黑体"/>
      <w:color w:val="000000"/>
      <w:kern w:val="2"/>
      <w:sz w:val="28"/>
      <w:szCs w:val="22"/>
      <w:lang w:val="en-US" w:eastAsia="zh-CN" w:bidi="ar-SA"/>
    </w:rPr>
  </w:style>
  <w:style w:type="paragraph" w:styleId="11">
    <w:name w:val="heading 7"/>
    <w:next w:val="1"/>
    <w:link w:val="43"/>
    <w:autoRedefine/>
    <w:unhideWhenUsed/>
    <w:qFormat/>
    <w:uiPriority w:val="9"/>
    <w:pPr>
      <w:keepNext/>
      <w:keepLines/>
      <w:spacing w:after="172" w:line="265" w:lineRule="auto"/>
      <w:ind w:left="10" w:right="116" w:hanging="10"/>
      <w:outlineLvl w:val="6"/>
    </w:pPr>
    <w:rPr>
      <w:rFonts w:ascii="黑体" w:hAnsi="黑体" w:eastAsia="黑体" w:cs="黑体"/>
      <w:color w:val="000000"/>
      <w:kern w:val="2"/>
      <w:sz w:val="28"/>
      <w:szCs w:val="22"/>
      <w:lang w:val="en-US" w:eastAsia="zh-CN" w:bidi="ar-SA"/>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spacing w:after="120"/>
      <w:ind w:left="420" w:leftChars="200" w:firstLine="420" w:firstLineChars="200"/>
    </w:pPr>
    <w:rPr>
      <w:rFonts w:eastAsia="宋?"/>
      <w:sz w:val="21"/>
      <w:szCs w:val="24"/>
    </w:rPr>
  </w:style>
  <w:style w:type="paragraph" w:styleId="3">
    <w:name w:val="Body Text Indent"/>
    <w:basedOn w:val="1"/>
    <w:autoRedefine/>
    <w:qFormat/>
    <w:uiPriority w:val="0"/>
    <w:pPr>
      <w:ind w:firstLine="630"/>
    </w:pPr>
    <w:rPr>
      <w:sz w:val="32"/>
    </w:rPr>
  </w:style>
  <w:style w:type="paragraph" w:styleId="6">
    <w:name w:val="Normal Indent"/>
    <w:basedOn w:val="1"/>
    <w:autoRedefine/>
    <w:qFormat/>
    <w:uiPriority w:val="0"/>
    <w:pPr>
      <w:widowControl w:val="0"/>
      <w:spacing w:after="0" w:line="240" w:lineRule="auto"/>
      <w:ind w:firstLine="420" w:firstLineChars="200"/>
      <w:jc w:val="both"/>
    </w:pPr>
    <w:rPr>
      <w:rFonts w:eastAsia="宋体" w:cs="Times New Roman"/>
      <w:color w:val="auto"/>
      <w:sz w:val="21"/>
      <w:szCs w:val="24"/>
    </w:rPr>
  </w:style>
  <w:style w:type="paragraph" w:styleId="12">
    <w:name w:val="toc 7"/>
    <w:basedOn w:val="1"/>
    <w:next w:val="1"/>
    <w:unhideWhenUsed/>
    <w:qFormat/>
    <w:uiPriority w:val="39"/>
    <w:pPr>
      <w:widowControl w:val="0"/>
      <w:spacing w:after="0" w:line="240" w:lineRule="auto"/>
      <w:ind w:left="2520" w:leftChars="1200"/>
      <w:jc w:val="both"/>
    </w:pPr>
    <w:rPr>
      <w:rFonts w:asciiTheme="minorHAnsi" w:hAnsiTheme="minorHAnsi" w:eastAsiaTheme="minorEastAsia" w:cstheme="minorBidi"/>
      <w:color w:val="auto"/>
      <w:sz w:val="21"/>
    </w:rPr>
  </w:style>
  <w:style w:type="paragraph" w:styleId="13">
    <w:name w:val="annotation text"/>
    <w:basedOn w:val="1"/>
    <w:link w:val="54"/>
    <w:autoRedefine/>
    <w:unhideWhenUsed/>
    <w:qFormat/>
    <w:uiPriority w:val="99"/>
  </w:style>
  <w:style w:type="paragraph" w:styleId="14">
    <w:name w:val="Body Text"/>
    <w:basedOn w:val="1"/>
    <w:next w:val="1"/>
    <w:link w:val="45"/>
    <w:autoRedefine/>
    <w:qFormat/>
    <w:uiPriority w:val="1"/>
    <w:pPr>
      <w:widowControl w:val="0"/>
      <w:autoSpaceDE w:val="0"/>
      <w:autoSpaceDN w:val="0"/>
      <w:adjustRightInd w:val="0"/>
      <w:spacing w:after="0" w:line="240" w:lineRule="auto"/>
      <w:ind w:left="520"/>
    </w:pPr>
    <w:rPr>
      <w:rFonts w:ascii="宋体" w:hAnsi="Times New Roman" w:eastAsia="宋体" w:cs="宋体"/>
      <w:color w:val="auto"/>
      <w:kern w:val="0"/>
      <w:sz w:val="21"/>
      <w:szCs w:val="21"/>
    </w:rPr>
  </w:style>
  <w:style w:type="paragraph" w:styleId="15">
    <w:name w:val="toc 5"/>
    <w:basedOn w:val="1"/>
    <w:next w:val="1"/>
    <w:autoRedefine/>
    <w:unhideWhenUsed/>
    <w:qFormat/>
    <w:uiPriority w:val="39"/>
    <w:pPr>
      <w:widowControl w:val="0"/>
      <w:spacing w:after="0" w:line="240" w:lineRule="auto"/>
      <w:ind w:left="1680" w:leftChars="800"/>
      <w:jc w:val="both"/>
    </w:pPr>
    <w:rPr>
      <w:rFonts w:asciiTheme="minorHAnsi" w:hAnsiTheme="minorHAnsi" w:eastAsiaTheme="minorEastAsia" w:cstheme="minorBidi"/>
      <w:color w:val="auto"/>
      <w:sz w:val="21"/>
    </w:rPr>
  </w:style>
  <w:style w:type="paragraph" w:styleId="16">
    <w:name w:val="toc 3"/>
    <w:next w:val="1"/>
    <w:autoRedefine/>
    <w:hidden/>
    <w:qFormat/>
    <w:uiPriority w:val="39"/>
    <w:pPr>
      <w:spacing w:after="7" w:line="257" w:lineRule="auto"/>
      <w:ind w:left="847" w:right="129" w:hanging="10"/>
      <w:jc w:val="both"/>
    </w:pPr>
    <w:rPr>
      <w:rFonts w:ascii="Calibri" w:hAnsi="Calibri" w:eastAsia="Calibri" w:cs="Calibri"/>
      <w:color w:val="000000"/>
      <w:kern w:val="2"/>
      <w:sz w:val="21"/>
      <w:szCs w:val="22"/>
      <w:lang w:val="en-US" w:eastAsia="zh-CN" w:bidi="ar-SA"/>
    </w:rPr>
  </w:style>
  <w:style w:type="paragraph" w:styleId="17">
    <w:name w:val="toc 8"/>
    <w:basedOn w:val="1"/>
    <w:next w:val="1"/>
    <w:autoRedefine/>
    <w:unhideWhenUsed/>
    <w:qFormat/>
    <w:uiPriority w:val="39"/>
    <w:pPr>
      <w:widowControl w:val="0"/>
      <w:spacing w:after="0" w:line="240" w:lineRule="auto"/>
      <w:ind w:left="2940" w:leftChars="1400"/>
      <w:jc w:val="both"/>
    </w:pPr>
    <w:rPr>
      <w:rFonts w:asciiTheme="minorHAnsi" w:hAnsiTheme="minorHAnsi" w:eastAsiaTheme="minorEastAsia" w:cstheme="minorBidi"/>
      <w:color w:val="auto"/>
      <w:sz w:val="21"/>
    </w:rPr>
  </w:style>
  <w:style w:type="paragraph" w:styleId="18">
    <w:name w:val="Body Text Indent 2"/>
    <w:basedOn w:val="1"/>
    <w:autoRedefine/>
    <w:semiHidden/>
    <w:unhideWhenUsed/>
    <w:qFormat/>
    <w:uiPriority w:val="99"/>
    <w:pPr>
      <w:spacing w:after="120" w:line="480" w:lineRule="auto"/>
      <w:ind w:left="420" w:leftChars="200"/>
    </w:pPr>
  </w:style>
  <w:style w:type="paragraph" w:styleId="19">
    <w:name w:val="Balloon Text"/>
    <w:basedOn w:val="1"/>
    <w:link w:val="46"/>
    <w:autoRedefine/>
    <w:semiHidden/>
    <w:unhideWhenUsed/>
    <w:qFormat/>
    <w:uiPriority w:val="99"/>
    <w:pPr>
      <w:spacing w:after="0" w:line="240" w:lineRule="auto"/>
    </w:pPr>
    <w:rPr>
      <w:sz w:val="18"/>
      <w:szCs w:val="18"/>
    </w:rPr>
  </w:style>
  <w:style w:type="paragraph" w:styleId="20">
    <w:name w:val="footer"/>
    <w:basedOn w:val="1"/>
    <w:link w:val="50"/>
    <w:autoRedefine/>
    <w:unhideWhenUsed/>
    <w:qFormat/>
    <w:uiPriority w:val="99"/>
    <w:pPr>
      <w:widowControl w:val="0"/>
      <w:tabs>
        <w:tab w:val="center" w:pos="4153"/>
        <w:tab w:val="right" w:pos="8306"/>
      </w:tabs>
      <w:snapToGrid w:val="0"/>
      <w:spacing w:after="0" w:line="240" w:lineRule="auto"/>
    </w:pPr>
    <w:rPr>
      <w:rFonts w:ascii="Times New Roman" w:hAnsi="Times New Roman" w:eastAsia="宋体" w:cs="Times New Roman"/>
      <w:color w:val="auto"/>
      <w:sz w:val="18"/>
      <w:szCs w:val="18"/>
    </w:rPr>
  </w:style>
  <w:style w:type="paragraph" w:styleId="21">
    <w:name w:val="header"/>
    <w:basedOn w:val="1"/>
    <w:link w:val="5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2">
    <w:name w:val="toc 1"/>
    <w:next w:val="1"/>
    <w:autoRedefine/>
    <w:hidden/>
    <w:qFormat/>
    <w:uiPriority w:val="39"/>
    <w:pPr>
      <w:spacing w:after="7" w:line="257" w:lineRule="auto"/>
      <w:ind w:left="15" w:right="134" w:firstLine="62"/>
      <w:jc w:val="both"/>
    </w:pPr>
    <w:rPr>
      <w:rFonts w:ascii="Calibri" w:hAnsi="Calibri" w:eastAsia="Calibri" w:cs="Calibri"/>
      <w:color w:val="000000"/>
      <w:kern w:val="2"/>
      <w:sz w:val="21"/>
      <w:szCs w:val="22"/>
      <w:lang w:val="en-US" w:eastAsia="zh-CN" w:bidi="ar-SA"/>
    </w:rPr>
  </w:style>
  <w:style w:type="paragraph" w:styleId="23">
    <w:name w:val="toc 4"/>
    <w:basedOn w:val="1"/>
    <w:next w:val="1"/>
    <w:autoRedefine/>
    <w:unhideWhenUsed/>
    <w:qFormat/>
    <w:uiPriority w:val="39"/>
    <w:pPr>
      <w:widowControl w:val="0"/>
      <w:spacing w:after="0" w:line="240" w:lineRule="auto"/>
      <w:ind w:left="1260" w:leftChars="600"/>
      <w:jc w:val="both"/>
    </w:pPr>
    <w:rPr>
      <w:rFonts w:asciiTheme="minorHAnsi" w:hAnsiTheme="minorHAnsi" w:eastAsiaTheme="minorEastAsia" w:cstheme="minorBidi"/>
      <w:color w:val="auto"/>
      <w:sz w:val="21"/>
    </w:rPr>
  </w:style>
  <w:style w:type="paragraph" w:styleId="24">
    <w:name w:val="toc 6"/>
    <w:basedOn w:val="1"/>
    <w:next w:val="1"/>
    <w:autoRedefine/>
    <w:unhideWhenUsed/>
    <w:qFormat/>
    <w:uiPriority w:val="39"/>
    <w:pPr>
      <w:widowControl w:val="0"/>
      <w:spacing w:after="0" w:line="240" w:lineRule="auto"/>
      <w:ind w:left="2100" w:leftChars="1000"/>
      <w:jc w:val="both"/>
    </w:pPr>
    <w:rPr>
      <w:rFonts w:asciiTheme="minorHAnsi" w:hAnsiTheme="minorHAnsi" w:eastAsiaTheme="minorEastAsia" w:cstheme="minorBidi"/>
      <w:color w:val="auto"/>
      <w:sz w:val="21"/>
    </w:rPr>
  </w:style>
  <w:style w:type="paragraph" w:styleId="25">
    <w:name w:val="toc 2"/>
    <w:next w:val="1"/>
    <w:autoRedefine/>
    <w:hidden/>
    <w:qFormat/>
    <w:uiPriority w:val="39"/>
    <w:pPr>
      <w:spacing w:after="7" w:line="257" w:lineRule="auto"/>
      <w:ind w:left="430" w:right="127" w:hanging="10"/>
      <w:jc w:val="both"/>
    </w:pPr>
    <w:rPr>
      <w:rFonts w:ascii="Calibri" w:hAnsi="Calibri" w:eastAsia="Calibri" w:cs="Calibri"/>
      <w:color w:val="000000"/>
      <w:kern w:val="2"/>
      <w:sz w:val="21"/>
      <w:szCs w:val="22"/>
      <w:lang w:val="en-US" w:eastAsia="zh-CN" w:bidi="ar-SA"/>
    </w:rPr>
  </w:style>
  <w:style w:type="paragraph" w:styleId="26">
    <w:name w:val="toc 9"/>
    <w:basedOn w:val="1"/>
    <w:next w:val="1"/>
    <w:autoRedefine/>
    <w:unhideWhenUsed/>
    <w:qFormat/>
    <w:uiPriority w:val="39"/>
    <w:pPr>
      <w:widowControl w:val="0"/>
      <w:spacing w:after="0" w:line="240" w:lineRule="auto"/>
      <w:ind w:left="3360" w:leftChars="1600"/>
      <w:jc w:val="both"/>
    </w:pPr>
    <w:rPr>
      <w:rFonts w:asciiTheme="minorHAnsi" w:hAnsiTheme="minorHAnsi" w:eastAsiaTheme="minorEastAsia" w:cstheme="minorBidi"/>
      <w:color w:val="auto"/>
      <w:sz w:val="21"/>
    </w:rPr>
  </w:style>
  <w:style w:type="paragraph" w:styleId="27">
    <w:name w:val="Normal (Web)"/>
    <w:basedOn w:val="1"/>
    <w:autoRedefine/>
    <w:qFormat/>
    <w:uiPriority w:val="0"/>
    <w:pPr>
      <w:spacing w:before="100" w:beforeAutospacing="1" w:after="100" w:afterAutospacing="1" w:line="240" w:lineRule="auto"/>
    </w:pPr>
    <w:rPr>
      <w:rFonts w:ascii="宋体" w:hAnsi="宋体" w:eastAsia="宋体" w:cs="Times New Roman"/>
      <w:color w:val="auto"/>
      <w:kern w:val="0"/>
      <w:sz w:val="18"/>
      <w:szCs w:val="18"/>
    </w:rPr>
  </w:style>
  <w:style w:type="paragraph" w:styleId="28">
    <w:name w:val="annotation subject"/>
    <w:basedOn w:val="13"/>
    <w:next w:val="13"/>
    <w:link w:val="55"/>
    <w:autoRedefine/>
    <w:semiHidden/>
    <w:unhideWhenUsed/>
    <w:qFormat/>
    <w:uiPriority w:val="99"/>
    <w:rPr>
      <w:b/>
      <w:bCs/>
    </w:rPr>
  </w:style>
  <w:style w:type="paragraph" w:styleId="29">
    <w:name w:val="Body Text First Indent"/>
    <w:basedOn w:val="14"/>
    <w:unhideWhenUsed/>
    <w:qFormat/>
    <w:uiPriority w:val="99"/>
    <w:pPr>
      <w:ind w:firstLine="420" w:firstLineChars="100"/>
    </w:pPr>
  </w:style>
  <w:style w:type="table" w:styleId="31">
    <w:name w:val="Table Grid"/>
    <w:basedOn w:val="3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basedOn w:val="32"/>
    <w:autoRedefine/>
    <w:qFormat/>
    <w:uiPriority w:val="0"/>
  </w:style>
  <w:style w:type="character" w:styleId="34">
    <w:name w:val="Hyperlink"/>
    <w:basedOn w:val="32"/>
    <w:autoRedefine/>
    <w:unhideWhenUsed/>
    <w:qFormat/>
    <w:uiPriority w:val="99"/>
    <w:rPr>
      <w:color w:val="0563C1" w:themeColor="hyperlink"/>
      <w:u w:val="single"/>
      <w14:textFill>
        <w14:solidFill>
          <w14:schemeClr w14:val="hlink"/>
        </w14:solidFill>
      </w14:textFill>
    </w:rPr>
  </w:style>
  <w:style w:type="character" w:styleId="35">
    <w:name w:val="annotation reference"/>
    <w:basedOn w:val="32"/>
    <w:autoRedefine/>
    <w:semiHidden/>
    <w:unhideWhenUsed/>
    <w:qFormat/>
    <w:uiPriority w:val="99"/>
    <w:rPr>
      <w:sz w:val="21"/>
      <w:szCs w:val="21"/>
    </w:rPr>
  </w:style>
  <w:style w:type="paragraph" w:customStyle="1" w:styleId="36">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7">
    <w:name w:val="标题 1 Char"/>
    <w:link w:val="4"/>
    <w:autoRedefine/>
    <w:qFormat/>
    <w:uiPriority w:val="0"/>
    <w:rPr>
      <w:rFonts w:ascii="黑体" w:hAnsi="黑体" w:eastAsia="黑体" w:cs="黑体"/>
      <w:color w:val="000000"/>
      <w:sz w:val="32"/>
    </w:rPr>
  </w:style>
  <w:style w:type="character" w:customStyle="1" w:styleId="38">
    <w:name w:val="标题 2 Char"/>
    <w:link w:val="5"/>
    <w:autoRedefine/>
    <w:qFormat/>
    <w:uiPriority w:val="0"/>
    <w:rPr>
      <w:rFonts w:ascii="黑体" w:hAnsi="黑体" w:eastAsia="黑体" w:cs="黑体"/>
      <w:color w:val="000000"/>
      <w:sz w:val="28"/>
    </w:rPr>
  </w:style>
  <w:style w:type="character" w:customStyle="1" w:styleId="39">
    <w:name w:val="标题 3 Char"/>
    <w:link w:val="7"/>
    <w:autoRedefine/>
    <w:qFormat/>
    <w:uiPriority w:val="0"/>
    <w:rPr>
      <w:rFonts w:ascii="黑体" w:hAnsi="黑体" w:eastAsia="黑体" w:cs="黑体"/>
      <w:color w:val="000000"/>
      <w:sz w:val="28"/>
    </w:rPr>
  </w:style>
  <w:style w:type="character" w:customStyle="1" w:styleId="40">
    <w:name w:val="标题 4 Char"/>
    <w:link w:val="8"/>
    <w:autoRedefine/>
    <w:qFormat/>
    <w:uiPriority w:val="0"/>
    <w:rPr>
      <w:rFonts w:ascii="黑体" w:hAnsi="黑体" w:eastAsia="黑体" w:cs="黑体"/>
      <w:color w:val="000000"/>
      <w:sz w:val="28"/>
    </w:rPr>
  </w:style>
  <w:style w:type="character" w:customStyle="1" w:styleId="41">
    <w:name w:val="标题 5 Char"/>
    <w:link w:val="9"/>
    <w:autoRedefine/>
    <w:qFormat/>
    <w:uiPriority w:val="0"/>
    <w:rPr>
      <w:rFonts w:ascii="黑体" w:hAnsi="黑体" w:eastAsia="黑体" w:cs="黑体"/>
      <w:color w:val="000000"/>
      <w:sz w:val="28"/>
    </w:rPr>
  </w:style>
  <w:style w:type="character" w:customStyle="1" w:styleId="42">
    <w:name w:val="标题 6 Char"/>
    <w:link w:val="10"/>
    <w:autoRedefine/>
    <w:qFormat/>
    <w:uiPriority w:val="0"/>
    <w:rPr>
      <w:rFonts w:ascii="黑体" w:hAnsi="黑体" w:eastAsia="黑体" w:cs="黑体"/>
      <w:color w:val="000000"/>
      <w:sz w:val="28"/>
    </w:rPr>
  </w:style>
  <w:style w:type="character" w:customStyle="1" w:styleId="43">
    <w:name w:val="标题 7 Char"/>
    <w:link w:val="11"/>
    <w:autoRedefine/>
    <w:qFormat/>
    <w:uiPriority w:val="0"/>
    <w:rPr>
      <w:rFonts w:ascii="黑体" w:hAnsi="黑体" w:eastAsia="黑体" w:cs="黑体"/>
      <w:color w:val="000000"/>
      <w:sz w:val="28"/>
    </w:rPr>
  </w:style>
  <w:style w:type="table" w:customStyle="1" w:styleId="44">
    <w:name w:val="TableGrid"/>
    <w:autoRedefine/>
    <w:qFormat/>
    <w:uiPriority w:val="0"/>
    <w:tblPr>
      <w:tblCellMar>
        <w:top w:w="0" w:type="dxa"/>
        <w:left w:w="0" w:type="dxa"/>
        <w:bottom w:w="0" w:type="dxa"/>
        <w:right w:w="0" w:type="dxa"/>
      </w:tblCellMar>
    </w:tblPr>
  </w:style>
  <w:style w:type="character" w:customStyle="1" w:styleId="45">
    <w:name w:val="正文文本 Char"/>
    <w:basedOn w:val="32"/>
    <w:link w:val="14"/>
    <w:autoRedefine/>
    <w:qFormat/>
    <w:uiPriority w:val="1"/>
    <w:rPr>
      <w:rFonts w:ascii="宋体" w:hAnsi="Times New Roman" w:eastAsia="宋体" w:cs="宋体"/>
      <w:kern w:val="0"/>
      <w:szCs w:val="21"/>
    </w:rPr>
  </w:style>
  <w:style w:type="character" w:customStyle="1" w:styleId="46">
    <w:name w:val="批注框文本 Char"/>
    <w:basedOn w:val="32"/>
    <w:link w:val="19"/>
    <w:autoRedefine/>
    <w:semiHidden/>
    <w:qFormat/>
    <w:uiPriority w:val="99"/>
    <w:rPr>
      <w:rFonts w:ascii="Calibri" w:hAnsi="Calibri" w:eastAsia="Calibri" w:cs="Calibri"/>
      <w:color w:val="000000"/>
      <w:sz w:val="18"/>
      <w:szCs w:val="18"/>
    </w:rPr>
  </w:style>
  <w:style w:type="paragraph" w:customStyle="1" w:styleId="47">
    <w:name w:val="样式1"/>
    <w:basedOn w:val="1"/>
    <w:link w:val="48"/>
    <w:autoRedefine/>
    <w:qFormat/>
    <w:uiPriority w:val="0"/>
    <w:pPr>
      <w:spacing w:after="44" w:line="265" w:lineRule="auto"/>
      <w:ind w:left="417" w:right="749" w:hanging="10"/>
    </w:pPr>
    <w:rPr>
      <w:rFonts w:ascii="Times New Roman" w:hAnsi="Times New Roman" w:eastAsia="Times New Roman" w:cs="Times New Roman"/>
      <w:color w:val="auto"/>
      <w:sz w:val="21"/>
      <w:u w:val="single" w:color="000000"/>
    </w:rPr>
  </w:style>
  <w:style w:type="character" w:customStyle="1" w:styleId="48">
    <w:name w:val="样式1 字符"/>
    <w:basedOn w:val="32"/>
    <w:link w:val="47"/>
    <w:autoRedefine/>
    <w:qFormat/>
    <w:uiPriority w:val="0"/>
    <w:rPr>
      <w:rFonts w:ascii="Times New Roman" w:hAnsi="Times New Roman" w:eastAsia="Times New Roman" w:cs="Times New Roman"/>
      <w:u w:val="single" w:color="000000"/>
    </w:rPr>
  </w:style>
  <w:style w:type="paragraph" w:styleId="49">
    <w:name w:val="List Paragraph"/>
    <w:basedOn w:val="1"/>
    <w:autoRedefine/>
    <w:qFormat/>
    <w:uiPriority w:val="34"/>
    <w:pPr>
      <w:ind w:firstLine="420" w:firstLineChars="200"/>
    </w:pPr>
  </w:style>
  <w:style w:type="character" w:customStyle="1" w:styleId="50">
    <w:name w:val="页脚 Char"/>
    <w:link w:val="20"/>
    <w:autoRedefine/>
    <w:qFormat/>
    <w:uiPriority w:val="99"/>
    <w:rPr>
      <w:rFonts w:ascii="Times New Roman" w:hAnsi="Times New Roman" w:eastAsia="宋体" w:cs="Times New Roman"/>
      <w:sz w:val="18"/>
      <w:szCs w:val="18"/>
    </w:rPr>
  </w:style>
  <w:style w:type="character" w:customStyle="1" w:styleId="51">
    <w:name w:val="页脚 字符"/>
    <w:basedOn w:val="32"/>
    <w:autoRedefine/>
    <w:qFormat/>
    <w:uiPriority w:val="99"/>
    <w:rPr>
      <w:rFonts w:ascii="Calibri" w:hAnsi="Calibri" w:eastAsia="Calibri" w:cs="Calibri"/>
      <w:color w:val="000000"/>
      <w:sz w:val="18"/>
      <w:szCs w:val="18"/>
    </w:rPr>
  </w:style>
  <w:style w:type="character" w:customStyle="1" w:styleId="52">
    <w:name w:val="未处理的提及1"/>
    <w:basedOn w:val="32"/>
    <w:autoRedefine/>
    <w:semiHidden/>
    <w:unhideWhenUsed/>
    <w:qFormat/>
    <w:uiPriority w:val="99"/>
    <w:rPr>
      <w:color w:val="605E5C"/>
      <w:shd w:val="clear" w:color="auto" w:fill="E1DFDD"/>
    </w:rPr>
  </w:style>
  <w:style w:type="character" w:customStyle="1" w:styleId="53">
    <w:name w:val="页眉 Char"/>
    <w:basedOn w:val="32"/>
    <w:link w:val="21"/>
    <w:autoRedefine/>
    <w:qFormat/>
    <w:uiPriority w:val="99"/>
    <w:rPr>
      <w:rFonts w:ascii="Calibri" w:hAnsi="Calibri" w:eastAsia="Calibri" w:cs="Calibri"/>
      <w:color w:val="000000"/>
      <w:sz w:val="18"/>
      <w:szCs w:val="18"/>
    </w:rPr>
  </w:style>
  <w:style w:type="character" w:customStyle="1" w:styleId="54">
    <w:name w:val="批注文字 Char"/>
    <w:basedOn w:val="32"/>
    <w:link w:val="13"/>
    <w:autoRedefine/>
    <w:qFormat/>
    <w:uiPriority w:val="99"/>
    <w:rPr>
      <w:rFonts w:ascii="Calibri" w:hAnsi="Calibri" w:eastAsia="Calibri" w:cs="Calibri"/>
      <w:color w:val="000000"/>
      <w:sz w:val="22"/>
    </w:rPr>
  </w:style>
  <w:style w:type="character" w:customStyle="1" w:styleId="55">
    <w:name w:val="批注主题 Char"/>
    <w:basedOn w:val="54"/>
    <w:link w:val="28"/>
    <w:autoRedefine/>
    <w:semiHidden/>
    <w:qFormat/>
    <w:uiPriority w:val="99"/>
    <w:rPr>
      <w:rFonts w:ascii="Calibri" w:hAnsi="Calibri" w:eastAsia="Calibri" w:cs="Calibri"/>
      <w:b/>
      <w:bCs/>
      <w:color w:val="000000"/>
      <w:sz w:val="22"/>
    </w:rPr>
  </w:style>
  <w:style w:type="paragraph" w:customStyle="1" w:styleId="56">
    <w:name w:val="Table Paragraph"/>
    <w:basedOn w:val="1"/>
    <w:autoRedefine/>
    <w:qFormat/>
    <w:uiPriority w:val="1"/>
  </w:style>
  <w:style w:type="paragraph" w:customStyle="1" w:styleId="57">
    <w:name w:val="样式 标题 3 + (中文) 黑体 小四 非加粗 段前: 7.8 磅 段后: 0 磅 行距: 固定值 20 磅"/>
    <w:basedOn w:val="7"/>
    <w:autoRedefine/>
    <w:qFormat/>
    <w:uiPriority w:val="0"/>
    <w:pPr>
      <w:spacing w:after="0" w:line="400" w:lineRule="exact"/>
    </w:pPr>
    <w:rPr>
      <w:rFonts w:cs="宋体"/>
      <w:sz w:val="24"/>
      <w:szCs w:val="20"/>
    </w:rPr>
  </w:style>
  <w:style w:type="paragraph" w:customStyle="1" w:styleId="58">
    <w:name w:val="修订1"/>
    <w:autoRedefine/>
    <w:hidden/>
    <w:semiHidden/>
    <w:qFormat/>
    <w:uiPriority w:val="99"/>
    <w:rPr>
      <w:rFonts w:ascii="Calibri" w:hAnsi="Calibri" w:eastAsia="Calibri" w:cs="Calibri"/>
      <w:color w:val="000000"/>
      <w:kern w:val="2"/>
      <w:sz w:val="22"/>
      <w:szCs w:val="22"/>
      <w:lang w:val="en-US" w:eastAsia="zh-CN" w:bidi="ar-SA"/>
    </w:rPr>
  </w:style>
  <w:style w:type="character" w:customStyle="1" w:styleId="59">
    <w:name w:val="未处理的提及2"/>
    <w:basedOn w:val="32"/>
    <w:autoRedefine/>
    <w:semiHidden/>
    <w:unhideWhenUsed/>
    <w:qFormat/>
    <w:uiPriority w:val="99"/>
    <w:rPr>
      <w:color w:val="605E5C"/>
      <w:shd w:val="clear" w:color="auto" w:fill="E1DFDD"/>
    </w:rPr>
  </w:style>
  <w:style w:type="character" w:customStyle="1" w:styleId="60">
    <w:name w:val="未处理的提及3"/>
    <w:basedOn w:val="32"/>
    <w:autoRedefine/>
    <w:semiHidden/>
    <w:unhideWhenUsed/>
    <w:qFormat/>
    <w:uiPriority w:val="99"/>
    <w:rPr>
      <w:color w:val="605E5C"/>
      <w:shd w:val="clear" w:color="auto" w:fill="E1DFDD"/>
    </w:rPr>
  </w:style>
  <w:style w:type="paragraph" w:customStyle="1" w:styleId="61">
    <w:name w:val="BodyText"/>
    <w:basedOn w:val="1"/>
    <w:autoRedefine/>
    <w:qFormat/>
    <w:uiPriority w:val="0"/>
    <w:pPr>
      <w:spacing w:line="240" w:lineRule="atLeast"/>
      <w:textAlignment w:val="baseline"/>
    </w:pPr>
    <w:rPr>
      <w:rFonts w:eastAsia="小标宋"/>
      <w:sz w:val="44"/>
    </w:rPr>
  </w:style>
  <w:style w:type="paragraph" w:customStyle="1" w:styleId="62">
    <w:name w:val="修订2"/>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3">
    <w:name w:val="修订3"/>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4">
    <w:name w:val="修订4"/>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5">
    <w:name w:val="正文 A"/>
    <w:autoRedefine/>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66">
    <w:name w:val="样式2"/>
    <w:basedOn w:val="1"/>
    <w:autoRedefine/>
    <w:qFormat/>
    <w:uiPriority w:val="0"/>
    <w:pPr>
      <w:spacing w:line="360" w:lineRule="auto"/>
      <w:ind w:firstLine="200" w:firstLineChars="200"/>
    </w:pPr>
    <w:rPr>
      <w:rFonts w:ascii="宋体" w:hAnsi="宋体"/>
      <w:bCs/>
      <w:spacing w:val="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1355</Words>
  <Characters>1601</Characters>
  <Lines>68</Lines>
  <Paragraphs>19</Paragraphs>
  <TotalTime>14</TotalTime>
  <ScaleCrop>false</ScaleCrop>
  <LinksUpToDate>false</LinksUpToDate>
  <CharactersWithSpaces>1630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2023-05-04T15:10:00Z</dcterms:created>
  <dc:creator>袁静</dc:creator>
  <cp:lastModifiedBy>高英杰</cp:lastModifiedBy>
  <cp:lastPrinted>2025-03-17T08:03:00Z</cp:lastPrinted>
  <dcterms:modified xsi:type="dcterms:W3CDTF">2025-07-03T02:55:44Z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5D77785E4FDE481BA2E4FF625DA36572_13</vt:lpwstr>
  </property>
  <property fmtid="{D5CDD505-2E9C-101B-9397-08002B2CF9AE}" pid="4" name="KSOTemplateDocerSaveRecord">
    <vt:lpwstr>eyJoZGlkIjoiZDI3ZDgzNTRmNjBkZjQ1ZTkwZGY3NmRmZjlkNjRkY2EiLCJ1c2VySWQiOiIzNTUxOTUwMDYifQ==</vt:lpwstr>
  </property>
</Properties>
</file>